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B501A" w14:textId="77777777" w:rsidR="00F45FF8" w:rsidRPr="00F45FF8" w:rsidRDefault="00F45FF8" w:rsidP="00F45FF8">
      <w:pPr>
        <w:shd w:val="clear" w:color="auto" w:fill="FFFFFF"/>
        <w:spacing w:after="75" w:line="288" w:lineRule="atLeast"/>
        <w:jc w:val="center"/>
        <w:outlineLvl w:val="1"/>
        <w:rPr>
          <w:rFonts w:ascii="Arial" w:eastAsia="Times New Roman" w:hAnsi="Arial" w:cs="Arial"/>
          <w:color w:val="000000"/>
          <w:kern w:val="0"/>
          <w:sz w:val="38"/>
          <w:szCs w:val="38"/>
          <w:lang w:eastAsia="pl-PL"/>
          <w14:ligatures w14:val="none"/>
        </w:rPr>
      </w:pPr>
      <w:r w:rsidRPr="00F45FF8">
        <w:rPr>
          <w:rFonts w:ascii="Arial" w:eastAsia="Times New Roman" w:hAnsi="Arial" w:cs="Arial"/>
          <w:color w:val="000000"/>
          <w:kern w:val="0"/>
          <w:sz w:val="38"/>
          <w:szCs w:val="38"/>
          <w:lang w:eastAsia="pl-PL"/>
          <w14:ligatures w14:val="none"/>
        </w:rPr>
        <w:t>Informacja o zbędnych i zużytych składnikach rzeczowych majątku ruchomego – 19.03.2026 r.</w:t>
      </w:r>
    </w:p>
    <w:p w14:paraId="103CB716" w14:textId="77777777" w:rsidR="00F45FF8" w:rsidRPr="00F45FF8" w:rsidRDefault="00F45FF8" w:rsidP="00F45FF8">
      <w:pPr>
        <w:shd w:val="clear" w:color="auto" w:fill="FFFFFF"/>
        <w:spacing w:after="0" w:line="240" w:lineRule="auto"/>
        <w:rPr>
          <w:rFonts w:ascii="Arial" w:eastAsia="Times New Roman" w:hAnsi="Arial" w:cs="Arial"/>
          <w:color w:val="464646"/>
          <w:kern w:val="0"/>
          <w:sz w:val="18"/>
          <w:szCs w:val="18"/>
          <w:lang w:eastAsia="pl-PL"/>
          <w14:ligatures w14:val="none"/>
        </w:rPr>
      </w:pPr>
      <w:r w:rsidRPr="00F45FF8">
        <w:rPr>
          <w:rFonts w:ascii="Arial" w:eastAsia="Times New Roman" w:hAnsi="Arial" w:cs="Arial"/>
          <w:color w:val="626267"/>
          <w:kern w:val="0"/>
          <w:sz w:val="17"/>
          <w:szCs w:val="17"/>
          <w:lang w:eastAsia="pl-PL"/>
          <w14:ligatures w14:val="none"/>
        </w:rPr>
        <w:t xml:space="preserve"> </w:t>
      </w:r>
    </w:p>
    <w:p w14:paraId="04487EF8" w14:textId="77777777" w:rsidR="00F45FF8" w:rsidRPr="00F45FF8" w:rsidRDefault="00F45FF8" w:rsidP="00F45FF8">
      <w:pPr>
        <w:shd w:val="clear" w:color="auto" w:fill="FFFFFF"/>
        <w:spacing w:before="96" w:after="240" w:line="240" w:lineRule="auto"/>
        <w:rPr>
          <w:rFonts w:ascii="Arial" w:eastAsia="Times New Roman" w:hAnsi="Arial" w:cs="Arial"/>
          <w:color w:val="464646"/>
          <w:kern w:val="0"/>
          <w:sz w:val="21"/>
          <w:szCs w:val="21"/>
          <w:lang w:eastAsia="pl-PL"/>
          <w14:ligatures w14:val="none"/>
        </w:rPr>
      </w:pPr>
      <w:r w:rsidRPr="00F45FF8">
        <w:rPr>
          <w:rFonts w:ascii="Arial" w:eastAsia="Times New Roman" w:hAnsi="Arial" w:cs="Arial"/>
          <w:color w:val="464646"/>
          <w:kern w:val="0"/>
          <w:sz w:val="21"/>
          <w:szCs w:val="21"/>
          <w:lang w:eastAsia="pl-PL"/>
          <w14:ligatures w14:val="none"/>
        </w:rPr>
        <w:t xml:space="preserve">Kuratorium Oświaty w Warszawie na podstawie § 6 ust. 2 Rozporządzenia Rady Ministrów z dnia 21 października 2019 r. w sprawie szczegółowego sposobu gospodarowania składnikami rzeczowymi majątku ruchomego Skarbu Państwa (dalej - Rozporządzenie) informuje, że posiada zbędne i zużyte składniki rzeczowe majątku ruchomego w rozumieniu § 2 Rozporządzenia, które nie są i nie mogą być wykorzystywane w realizacji zadań związanych z działalnością organu lub jednostki, lub nie nadają się do użytkowania ze sprzętem używanym przez organ lub jednostkę, a ich przystosowanie byłoby technicznie lub ekonomicznie nieuzasadnione, lub posiadają wady lub uszkodzenia, których naprawa byłaby ekonomicznie nieuzasadniona, lub zagrażające bezpieczeństwu użytkowników lub najbliższego otoczenia, lub które całkowicie utraciły wartość użytkową, lub które są technicznie przestarzałe, a ich remont byłby ekonomicznie nieuzasadniony, z przeznaczeniem do nieodpłatnego przekazania na potrzeby innych jednostek lub darowizny. </w:t>
      </w:r>
      <w:r w:rsidRPr="00F45FF8">
        <w:rPr>
          <w:rFonts w:ascii="Arial" w:eastAsia="Times New Roman" w:hAnsi="Arial" w:cs="Arial"/>
          <w:color w:val="464646"/>
          <w:kern w:val="0"/>
          <w:sz w:val="21"/>
          <w:szCs w:val="21"/>
          <w:u w:val="single"/>
          <w:lang w:eastAsia="pl-PL"/>
          <w14:ligatures w14:val="none"/>
        </w:rPr>
        <w:t xml:space="preserve">Zbędne lub zużyte składniki rzeczowe majątku ruchomego mogą być przedmiotem nieodpłatne przekazania lub darowizny na rzecz jednostek sektora finansów publicznych oraz podmiotów określonych w § 7 ust. 2a, jeżeli przemawia za tym interes publiczny. </w:t>
      </w:r>
      <w:r w:rsidRPr="00F45FF8">
        <w:rPr>
          <w:rFonts w:ascii="Arial" w:eastAsia="Times New Roman" w:hAnsi="Arial" w:cs="Arial"/>
          <w:color w:val="464646"/>
          <w:kern w:val="0"/>
          <w:sz w:val="21"/>
          <w:szCs w:val="21"/>
          <w:lang w:eastAsia="pl-PL"/>
          <w14:ligatures w14:val="none"/>
        </w:rPr>
        <w:t>Przekazanie lub darowizna nastąpi na pisemny wniosek jednostki, na podstawie protokołu zdawczoodbiorczego, zgodnie z Rozdziałem 4 Rozporządzenia.</w:t>
      </w:r>
    </w:p>
    <w:tbl>
      <w:tblPr>
        <w:tblW w:w="9493" w:type="dxa"/>
        <w:shd w:val="clear" w:color="auto" w:fill="FFFFFF"/>
        <w:tblCellMar>
          <w:top w:w="15" w:type="dxa"/>
          <w:left w:w="15" w:type="dxa"/>
          <w:bottom w:w="15" w:type="dxa"/>
          <w:right w:w="15" w:type="dxa"/>
        </w:tblCellMar>
        <w:tblLook w:val="04A0" w:firstRow="1" w:lastRow="0" w:firstColumn="1" w:lastColumn="0" w:noHBand="0" w:noVBand="1"/>
      </w:tblPr>
      <w:tblGrid>
        <w:gridCol w:w="391"/>
        <w:gridCol w:w="1687"/>
        <w:gridCol w:w="1378"/>
        <w:gridCol w:w="1217"/>
        <w:gridCol w:w="1276"/>
        <w:gridCol w:w="3544"/>
      </w:tblGrid>
      <w:tr w:rsidR="00F45FF8" w:rsidRPr="00F45FF8" w14:paraId="23FAA002" w14:textId="77777777" w:rsidTr="00685DC5">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C3B9781" w14:textId="77777777" w:rsidR="00F45FF8" w:rsidRPr="00F45FF8" w:rsidRDefault="00F45FF8" w:rsidP="00F45FF8">
            <w:pPr>
              <w:spacing w:after="0" w:line="240" w:lineRule="auto"/>
              <w:jc w:val="center"/>
              <w:rPr>
                <w:rFonts w:ascii="Arial" w:eastAsia="Times New Roman" w:hAnsi="Arial" w:cs="Arial"/>
                <w:color w:val="000000"/>
                <w:kern w:val="0"/>
                <w:sz w:val="22"/>
                <w:szCs w:val="22"/>
                <w:lang w:eastAsia="pl-PL"/>
                <w14:ligatures w14:val="none"/>
              </w:rPr>
            </w:pPr>
            <w:r w:rsidRPr="00F45FF8">
              <w:rPr>
                <w:rFonts w:ascii="Arial" w:eastAsia="Times New Roman" w:hAnsi="Arial" w:cs="Arial"/>
                <w:color w:val="000000"/>
                <w:kern w:val="0"/>
                <w:sz w:val="22"/>
                <w:szCs w:val="22"/>
                <w:lang w:eastAsia="pl-PL"/>
                <w14:ligatures w14:val="none"/>
              </w:rPr>
              <w:t>LP.</w:t>
            </w:r>
          </w:p>
        </w:tc>
        <w:tc>
          <w:tcPr>
            <w:tcW w:w="1687"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45301E88" w14:textId="77777777" w:rsidR="00F45FF8" w:rsidRPr="00F45FF8" w:rsidRDefault="00F45FF8" w:rsidP="00F45FF8">
            <w:pPr>
              <w:spacing w:after="0" w:line="240" w:lineRule="auto"/>
              <w:jc w:val="center"/>
              <w:rPr>
                <w:rFonts w:ascii="Arial" w:eastAsia="Times New Roman" w:hAnsi="Arial" w:cs="Arial"/>
                <w:color w:val="000000"/>
                <w:kern w:val="0"/>
                <w:sz w:val="22"/>
                <w:szCs w:val="22"/>
                <w:lang w:eastAsia="pl-PL"/>
                <w14:ligatures w14:val="none"/>
              </w:rPr>
            </w:pPr>
            <w:r w:rsidRPr="00F45FF8">
              <w:rPr>
                <w:rFonts w:ascii="Arial" w:eastAsia="Times New Roman" w:hAnsi="Arial" w:cs="Arial"/>
                <w:color w:val="000000"/>
                <w:kern w:val="0"/>
                <w:sz w:val="22"/>
                <w:szCs w:val="22"/>
                <w:lang w:eastAsia="pl-PL"/>
                <w14:ligatures w14:val="none"/>
              </w:rPr>
              <w:t>Marka, model pojazdu</w:t>
            </w:r>
          </w:p>
        </w:tc>
        <w:tc>
          <w:tcPr>
            <w:tcW w:w="1378"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62102C2F" w14:textId="77777777" w:rsidR="00F45FF8" w:rsidRPr="00F45FF8" w:rsidRDefault="00F45FF8" w:rsidP="00F45FF8">
            <w:pPr>
              <w:spacing w:after="0" w:line="240" w:lineRule="auto"/>
              <w:jc w:val="center"/>
              <w:rPr>
                <w:rFonts w:ascii="Arial" w:eastAsia="Times New Roman" w:hAnsi="Arial" w:cs="Arial"/>
                <w:color w:val="000000"/>
                <w:kern w:val="0"/>
                <w:sz w:val="22"/>
                <w:szCs w:val="22"/>
                <w:lang w:eastAsia="pl-PL"/>
                <w14:ligatures w14:val="none"/>
              </w:rPr>
            </w:pPr>
            <w:r w:rsidRPr="00F45FF8">
              <w:rPr>
                <w:rFonts w:ascii="Arial" w:eastAsia="Times New Roman" w:hAnsi="Arial" w:cs="Arial"/>
                <w:color w:val="000000"/>
                <w:kern w:val="0"/>
                <w:sz w:val="22"/>
                <w:szCs w:val="22"/>
                <w:lang w:eastAsia="pl-PL"/>
                <w14:ligatures w14:val="none"/>
              </w:rPr>
              <w:t>Numer rejestracyjny</w:t>
            </w:r>
          </w:p>
        </w:tc>
        <w:tc>
          <w:tcPr>
            <w:tcW w:w="1217"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217BECAE" w14:textId="77777777" w:rsidR="00F45FF8" w:rsidRPr="00F45FF8" w:rsidRDefault="00F45FF8" w:rsidP="00F45FF8">
            <w:pPr>
              <w:spacing w:after="0" w:line="240" w:lineRule="auto"/>
              <w:jc w:val="center"/>
              <w:rPr>
                <w:rFonts w:ascii="Arial" w:eastAsia="Times New Roman" w:hAnsi="Arial" w:cs="Arial"/>
                <w:color w:val="000000"/>
                <w:kern w:val="0"/>
                <w:sz w:val="22"/>
                <w:szCs w:val="22"/>
                <w:lang w:eastAsia="pl-PL"/>
                <w14:ligatures w14:val="none"/>
              </w:rPr>
            </w:pPr>
            <w:r w:rsidRPr="00F45FF8">
              <w:rPr>
                <w:rFonts w:ascii="Arial" w:eastAsia="Times New Roman" w:hAnsi="Arial" w:cs="Arial"/>
                <w:color w:val="000000"/>
                <w:kern w:val="0"/>
                <w:sz w:val="22"/>
                <w:szCs w:val="22"/>
                <w:lang w:eastAsia="pl-PL"/>
                <w14:ligatures w14:val="none"/>
              </w:rPr>
              <w:t>Rok produkcji</w:t>
            </w:r>
          </w:p>
        </w:tc>
        <w:tc>
          <w:tcPr>
            <w:tcW w:w="1276"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2A338E61" w14:textId="77777777" w:rsidR="00F45FF8" w:rsidRPr="00F45FF8" w:rsidRDefault="00F45FF8" w:rsidP="00F45FF8">
            <w:pPr>
              <w:spacing w:after="0" w:line="240" w:lineRule="auto"/>
              <w:jc w:val="center"/>
              <w:rPr>
                <w:rFonts w:ascii="Arial" w:eastAsia="Times New Roman" w:hAnsi="Arial" w:cs="Arial"/>
                <w:color w:val="000000"/>
                <w:kern w:val="0"/>
                <w:sz w:val="22"/>
                <w:szCs w:val="22"/>
                <w:lang w:eastAsia="pl-PL"/>
                <w14:ligatures w14:val="none"/>
              </w:rPr>
            </w:pPr>
            <w:r w:rsidRPr="00F45FF8">
              <w:rPr>
                <w:rFonts w:ascii="Arial" w:eastAsia="Times New Roman" w:hAnsi="Arial" w:cs="Arial"/>
                <w:color w:val="000000"/>
                <w:kern w:val="0"/>
                <w:sz w:val="22"/>
                <w:szCs w:val="22"/>
                <w:lang w:eastAsia="pl-PL"/>
                <w14:ligatures w14:val="none"/>
              </w:rPr>
              <w:t>Przebieg</w:t>
            </w:r>
          </w:p>
        </w:tc>
        <w:tc>
          <w:tcPr>
            <w:tcW w:w="3544"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16E9D770" w14:textId="77777777" w:rsidR="00F45FF8" w:rsidRPr="00F45FF8" w:rsidRDefault="00F45FF8" w:rsidP="00F45FF8">
            <w:pPr>
              <w:spacing w:after="0" w:line="240" w:lineRule="auto"/>
              <w:jc w:val="center"/>
              <w:rPr>
                <w:rFonts w:ascii="Arial" w:eastAsia="Times New Roman" w:hAnsi="Arial" w:cs="Arial"/>
                <w:color w:val="000000"/>
                <w:kern w:val="0"/>
                <w:sz w:val="22"/>
                <w:szCs w:val="22"/>
                <w:lang w:eastAsia="pl-PL"/>
                <w14:ligatures w14:val="none"/>
              </w:rPr>
            </w:pPr>
            <w:r w:rsidRPr="00F45FF8">
              <w:rPr>
                <w:rFonts w:ascii="Arial" w:eastAsia="Times New Roman" w:hAnsi="Arial" w:cs="Arial"/>
                <w:color w:val="000000"/>
                <w:kern w:val="0"/>
                <w:sz w:val="22"/>
                <w:szCs w:val="22"/>
                <w:lang w:eastAsia="pl-PL"/>
                <w14:ligatures w14:val="none"/>
              </w:rPr>
              <w:t>Uwagi</w:t>
            </w:r>
          </w:p>
        </w:tc>
      </w:tr>
      <w:tr w:rsidR="00F45FF8" w:rsidRPr="00F45FF8" w14:paraId="5C9E11DA" w14:textId="77777777" w:rsidTr="00685DC5">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0D928AB" w14:textId="77777777" w:rsidR="00F45FF8" w:rsidRPr="00F45FF8" w:rsidRDefault="00F45FF8" w:rsidP="00F45FF8">
            <w:pPr>
              <w:spacing w:after="0" w:line="240" w:lineRule="auto"/>
              <w:jc w:val="center"/>
              <w:rPr>
                <w:rFonts w:ascii="Arial" w:eastAsia="Times New Roman" w:hAnsi="Arial" w:cs="Arial"/>
                <w:color w:val="000000"/>
                <w:kern w:val="0"/>
                <w:sz w:val="22"/>
                <w:szCs w:val="22"/>
                <w:lang w:eastAsia="pl-PL"/>
                <w14:ligatures w14:val="none"/>
              </w:rPr>
            </w:pPr>
            <w:r w:rsidRPr="00F45FF8">
              <w:rPr>
                <w:rFonts w:ascii="Arial" w:eastAsia="Times New Roman" w:hAnsi="Arial" w:cs="Arial"/>
                <w:color w:val="000000"/>
                <w:kern w:val="0"/>
                <w:sz w:val="22"/>
                <w:szCs w:val="22"/>
                <w:lang w:eastAsia="pl-PL"/>
                <w14:ligatures w14:val="none"/>
              </w:rPr>
              <w:t>1.</w:t>
            </w:r>
          </w:p>
        </w:tc>
        <w:tc>
          <w:tcPr>
            <w:tcW w:w="1687"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05FA0DF4" w14:textId="77777777" w:rsidR="00F45FF8" w:rsidRPr="00F45FF8" w:rsidRDefault="00F45FF8" w:rsidP="00F45FF8">
            <w:pPr>
              <w:spacing w:after="0" w:line="240" w:lineRule="auto"/>
              <w:jc w:val="center"/>
              <w:rPr>
                <w:rFonts w:ascii="Arial" w:eastAsia="Times New Roman" w:hAnsi="Arial" w:cs="Arial"/>
                <w:color w:val="000000"/>
                <w:kern w:val="0"/>
                <w:sz w:val="22"/>
                <w:szCs w:val="22"/>
                <w:lang w:eastAsia="pl-PL"/>
                <w14:ligatures w14:val="none"/>
              </w:rPr>
            </w:pPr>
            <w:r w:rsidRPr="00F45FF8">
              <w:rPr>
                <w:rFonts w:ascii="Arial" w:eastAsia="Times New Roman" w:hAnsi="Arial" w:cs="Arial"/>
                <w:color w:val="000000"/>
                <w:kern w:val="0"/>
                <w:sz w:val="22"/>
                <w:szCs w:val="22"/>
                <w:lang w:eastAsia="pl-PL"/>
                <w14:ligatures w14:val="none"/>
              </w:rPr>
              <w:t>Volkswagen Passat</w:t>
            </w:r>
          </w:p>
        </w:tc>
        <w:tc>
          <w:tcPr>
            <w:tcW w:w="1378"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64F5F758" w14:textId="77777777" w:rsidR="00F45FF8" w:rsidRPr="00F45FF8" w:rsidRDefault="00F45FF8" w:rsidP="00F45FF8">
            <w:pPr>
              <w:spacing w:after="0" w:line="240" w:lineRule="auto"/>
              <w:jc w:val="center"/>
              <w:rPr>
                <w:rFonts w:ascii="Arial" w:eastAsia="Times New Roman" w:hAnsi="Arial" w:cs="Arial"/>
                <w:color w:val="000000"/>
                <w:kern w:val="0"/>
                <w:sz w:val="22"/>
                <w:szCs w:val="22"/>
                <w:lang w:eastAsia="pl-PL"/>
                <w14:ligatures w14:val="none"/>
              </w:rPr>
            </w:pPr>
            <w:r w:rsidRPr="00F45FF8">
              <w:rPr>
                <w:rFonts w:ascii="Arial" w:eastAsia="Times New Roman" w:hAnsi="Arial" w:cs="Arial"/>
                <w:color w:val="000000"/>
                <w:kern w:val="0"/>
                <w:sz w:val="22"/>
                <w:szCs w:val="22"/>
                <w:lang w:eastAsia="pl-PL"/>
                <w14:ligatures w14:val="none"/>
              </w:rPr>
              <w:t>WI 2777K</w:t>
            </w:r>
          </w:p>
        </w:tc>
        <w:tc>
          <w:tcPr>
            <w:tcW w:w="1217"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4B1EE387" w14:textId="77777777" w:rsidR="00F45FF8" w:rsidRPr="00F45FF8" w:rsidRDefault="00F45FF8" w:rsidP="00F45FF8">
            <w:pPr>
              <w:spacing w:after="0" w:line="240" w:lineRule="auto"/>
              <w:jc w:val="center"/>
              <w:rPr>
                <w:rFonts w:ascii="Arial" w:eastAsia="Times New Roman" w:hAnsi="Arial" w:cs="Arial"/>
                <w:color w:val="000000"/>
                <w:kern w:val="0"/>
                <w:sz w:val="22"/>
                <w:szCs w:val="22"/>
                <w:lang w:eastAsia="pl-PL"/>
                <w14:ligatures w14:val="none"/>
              </w:rPr>
            </w:pPr>
            <w:r w:rsidRPr="00F45FF8">
              <w:rPr>
                <w:rFonts w:ascii="Arial" w:eastAsia="Times New Roman" w:hAnsi="Arial" w:cs="Arial"/>
                <w:color w:val="000000"/>
                <w:kern w:val="0"/>
                <w:sz w:val="22"/>
                <w:szCs w:val="22"/>
                <w:lang w:eastAsia="pl-PL"/>
                <w14:ligatures w14:val="none"/>
              </w:rPr>
              <w:t>2008</w:t>
            </w:r>
          </w:p>
        </w:tc>
        <w:tc>
          <w:tcPr>
            <w:tcW w:w="1276"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7B0B95D8" w14:textId="77777777" w:rsidR="00F45FF8" w:rsidRPr="00F45FF8" w:rsidRDefault="00F45FF8" w:rsidP="00F45FF8">
            <w:pPr>
              <w:spacing w:after="0" w:line="240" w:lineRule="auto"/>
              <w:jc w:val="center"/>
              <w:rPr>
                <w:rFonts w:ascii="Arial" w:eastAsia="Times New Roman" w:hAnsi="Arial" w:cs="Arial"/>
                <w:color w:val="000000"/>
                <w:kern w:val="0"/>
                <w:sz w:val="22"/>
                <w:szCs w:val="22"/>
                <w:lang w:eastAsia="pl-PL"/>
                <w14:ligatures w14:val="none"/>
              </w:rPr>
            </w:pPr>
            <w:r w:rsidRPr="00F45FF8">
              <w:rPr>
                <w:rFonts w:ascii="Arial" w:eastAsia="Times New Roman" w:hAnsi="Arial" w:cs="Arial"/>
                <w:color w:val="000000"/>
                <w:kern w:val="0"/>
                <w:sz w:val="22"/>
                <w:szCs w:val="22"/>
                <w:lang w:eastAsia="pl-PL"/>
                <w14:ligatures w14:val="none"/>
              </w:rPr>
              <w:t>278 906 km</w:t>
            </w:r>
          </w:p>
        </w:tc>
        <w:tc>
          <w:tcPr>
            <w:tcW w:w="3544"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06807D94" w14:textId="77777777" w:rsidR="00F45FF8" w:rsidRPr="00F45FF8" w:rsidRDefault="00F45FF8" w:rsidP="00F45FF8">
            <w:pPr>
              <w:spacing w:after="0" w:line="240" w:lineRule="auto"/>
              <w:rPr>
                <w:rFonts w:ascii="Arial" w:eastAsia="Times New Roman" w:hAnsi="Arial" w:cs="Arial"/>
                <w:color w:val="000000"/>
                <w:kern w:val="0"/>
                <w:sz w:val="22"/>
                <w:szCs w:val="22"/>
                <w:lang w:eastAsia="pl-PL"/>
                <w14:ligatures w14:val="none"/>
              </w:rPr>
            </w:pPr>
            <w:r w:rsidRPr="00F45FF8">
              <w:rPr>
                <w:rFonts w:ascii="Arial" w:eastAsia="Times New Roman" w:hAnsi="Arial" w:cs="Arial"/>
                <w:color w:val="000000"/>
                <w:kern w:val="0"/>
                <w:sz w:val="22"/>
                <w:szCs w:val="22"/>
                <w:lang w:eastAsia="pl-PL"/>
                <w14:ligatures w14:val="none"/>
              </w:rPr>
              <w:t xml:space="preserve">Wymaga wymiany prawy przegub, zwrotnica, łącznik rur wydechowych oraz instalacja elektryczna w komorze silnika. </w:t>
            </w:r>
          </w:p>
          <w:p w14:paraId="0A5E3EDB" w14:textId="77777777" w:rsidR="00F45FF8" w:rsidRPr="00F45FF8" w:rsidRDefault="00F45FF8" w:rsidP="00F45FF8">
            <w:pPr>
              <w:spacing w:after="0" w:line="240" w:lineRule="auto"/>
              <w:rPr>
                <w:rFonts w:ascii="Arial" w:eastAsia="Times New Roman" w:hAnsi="Arial" w:cs="Arial"/>
                <w:color w:val="000000"/>
                <w:kern w:val="0"/>
                <w:sz w:val="22"/>
                <w:szCs w:val="22"/>
                <w:lang w:eastAsia="pl-PL"/>
                <w14:ligatures w14:val="none"/>
              </w:rPr>
            </w:pPr>
            <w:r w:rsidRPr="00F45FF8">
              <w:rPr>
                <w:rFonts w:ascii="Arial" w:eastAsia="Times New Roman" w:hAnsi="Arial" w:cs="Arial"/>
                <w:color w:val="000000"/>
                <w:kern w:val="0"/>
                <w:sz w:val="22"/>
                <w:szCs w:val="22"/>
                <w:lang w:eastAsia="pl-PL"/>
                <w14:ligatures w14:val="none"/>
              </w:rPr>
              <w:t xml:space="preserve">Elementy karoserii wymagają wymiany i lakierowania </w:t>
            </w:r>
          </w:p>
        </w:tc>
      </w:tr>
    </w:tbl>
    <w:p w14:paraId="371FBE2C" w14:textId="77777777" w:rsidR="00F45FF8" w:rsidRPr="00F45FF8" w:rsidRDefault="00F45FF8" w:rsidP="00F45FF8">
      <w:pPr>
        <w:shd w:val="clear" w:color="auto" w:fill="FFFFFF"/>
        <w:spacing w:before="96" w:after="240" w:line="240" w:lineRule="auto"/>
        <w:rPr>
          <w:rFonts w:ascii="Arial" w:eastAsia="Times New Roman" w:hAnsi="Arial" w:cs="Arial"/>
          <w:color w:val="464646"/>
          <w:kern w:val="0"/>
          <w:sz w:val="21"/>
          <w:szCs w:val="21"/>
          <w:lang w:eastAsia="pl-PL"/>
          <w14:ligatures w14:val="none"/>
        </w:rPr>
      </w:pPr>
      <w:r w:rsidRPr="00F45FF8">
        <w:rPr>
          <w:rFonts w:ascii="Arial" w:eastAsia="Times New Roman" w:hAnsi="Arial" w:cs="Arial"/>
          <w:color w:val="464646"/>
          <w:kern w:val="0"/>
          <w:sz w:val="21"/>
          <w:szCs w:val="21"/>
          <w:lang w:eastAsia="pl-PL"/>
          <w14:ligatures w14:val="none"/>
        </w:rPr>
        <w:t xml:space="preserve"> </w:t>
      </w:r>
    </w:p>
    <w:p w14:paraId="57CF7FFD" w14:textId="77777777" w:rsidR="00F45FF8" w:rsidRPr="00F45FF8" w:rsidRDefault="00F45FF8" w:rsidP="00F45FF8">
      <w:pPr>
        <w:shd w:val="clear" w:color="auto" w:fill="FFFFFF"/>
        <w:spacing w:before="96" w:after="240" w:line="240" w:lineRule="auto"/>
        <w:rPr>
          <w:rFonts w:ascii="Arial" w:eastAsia="Times New Roman" w:hAnsi="Arial" w:cs="Arial"/>
          <w:color w:val="464646"/>
          <w:kern w:val="0"/>
          <w:sz w:val="21"/>
          <w:szCs w:val="21"/>
          <w:lang w:eastAsia="pl-PL"/>
          <w14:ligatures w14:val="none"/>
        </w:rPr>
      </w:pPr>
      <w:r w:rsidRPr="00F45FF8">
        <w:rPr>
          <w:rFonts w:ascii="Arial" w:eastAsia="Times New Roman" w:hAnsi="Arial" w:cs="Arial"/>
          <w:b/>
          <w:bCs/>
          <w:color w:val="464646"/>
          <w:kern w:val="0"/>
          <w:sz w:val="21"/>
          <w:szCs w:val="21"/>
          <w:lang w:eastAsia="pl-PL"/>
          <w14:ligatures w14:val="none"/>
        </w:rPr>
        <w:t>Opis sposobu przygotowania wniosku</w:t>
      </w:r>
    </w:p>
    <w:p w14:paraId="4E6DFD3A" w14:textId="77777777" w:rsidR="00F45FF8" w:rsidRPr="00F45FF8" w:rsidRDefault="00F45FF8" w:rsidP="00F45FF8">
      <w:pPr>
        <w:numPr>
          <w:ilvl w:val="0"/>
          <w:numId w:val="1"/>
        </w:numPr>
        <w:shd w:val="clear" w:color="auto" w:fill="FFFFFF"/>
        <w:spacing w:after="0" w:line="240" w:lineRule="auto"/>
        <w:ind w:left="1200" w:right="240"/>
        <w:rPr>
          <w:rFonts w:ascii="Arial" w:eastAsia="Times New Roman" w:hAnsi="Arial" w:cs="Arial"/>
          <w:color w:val="464646"/>
          <w:kern w:val="0"/>
          <w:sz w:val="21"/>
          <w:szCs w:val="21"/>
          <w:lang w:eastAsia="pl-PL"/>
          <w14:ligatures w14:val="none"/>
        </w:rPr>
      </w:pPr>
      <w:r w:rsidRPr="00F45FF8">
        <w:rPr>
          <w:rFonts w:ascii="Arial" w:eastAsia="Times New Roman" w:hAnsi="Arial" w:cs="Arial"/>
          <w:color w:val="464646"/>
          <w:kern w:val="0"/>
          <w:sz w:val="21"/>
          <w:szCs w:val="21"/>
          <w:lang w:eastAsia="pl-PL"/>
          <w14:ligatures w14:val="none"/>
        </w:rPr>
        <w:t>jednostka zainteresowana nieodpłatnym przekazaniem składnika rzeczowego majątku ruchomego składa pisemny wniosek, zgodnie ze wzorem stanowiącym załącznik nr 2 do informacji;</w:t>
      </w:r>
    </w:p>
    <w:p w14:paraId="6C987E9F" w14:textId="77777777" w:rsidR="00F45FF8" w:rsidRPr="00F45FF8" w:rsidRDefault="00F45FF8" w:rsidP="00F45FF8">
      <w:pPr>
        <w:numPr>
          <w:ilvl w:val="0"/>
          <w:numId w:val="1"/>
        </w:numPr>
        <w:shd w:val="clear" w:color="auto" w:fill="FFFFFF"/>
        <w:spacing w:after="0" w:line="240" w:lineRule="auto"/>
        <w:ind w:left="1200" w:right="240"/>
        <w:rPr>
          <w:rFonts w:ascii="Arial" w:eastAsia="Times New Roman" w:hAnsi="Arial" w:cs="Arial"/>
          <w:color w:val="464646"/>
          <w:kern w:val="0"/>
          <w:sz w:val="21"/>
          <w:szCs w:val="21"/>
          <w:lang w:eastAsia="pl-PL"/>
          <w14:ligatures w14:val="none"/>
        </w:rPr>
      </w:pPr>
      <w:r w:rsidRPr="00F45FF8">
        <w:rPr>
          <w:rFonts w:ascii="Arial" w:eastAsia="Times New Roman" w:hAnsi="Arial" w:cs="Arial"/>
          <w:color w:val="464646"/>
          <w:kern w:val="0"/>
          <w:sz w:val="21"/>
          <w:szCs w:val="21"/>
          <w:lang w:eastAsia="pl-PL"/>
          <w14:ligatures w14:val="none"/>
        </w:rPr>
        <w:t>jednostka zaineresowana przekazaniem składnika rzeczowego majątku ruchomego w formie darowizny składa wniosek, zgodnie ze wzorem stanowiącym załącznik nr 3 do informacji;</w:t>
      </w:r>
    </w:p>
    <w:p w14:paraId="313E90D3" w14:textId="77777777" w:rsidR="00F45FF8" w:rsidRPr="00F45FF8" w:rsidRDefault="00F45FF8" w:rsidP="00F45FF8">
      <w:pPr>
        <w:numPr>
          <w:ilvl w:val="0"/>
          <w:numId w:val="1"/>
        </w:numPr>
        <w:shd w:val="clear" w:color="auto" w:fill="FFFFFF"/>
        <w:spacing w:after="0" w:line="240" w:lineRule="auto"/>
        <w:ind w:left="1200" w:right="240"/>
        <w:rPr>
          <w:rFonts w:ascii="Arial" w:eastAsia="Times New Roman" w:hAnsi="Arial" w:cs="Arial"/>
          <w:color w:val="464646"/>
          <w:kern w:val="0"/>
          <w:sz w:val="21"/>
          <w:szCs w:val="21"/>
          <w:lang w:eastAsia="pl-PL"/>
          <w14:ligatures w14:val="none"/>
        </w:rPr>
      </w:pPr>
      <w:r w:rsidRPr="00F45FF8">
        <w:rPr>
          <w:rFonts w:ascii="Arial" w:eastAsia="Times New Roman" w:hAnsi="Arial" w:cs="Arial"/>
          <w:color w:val="464646"/>
          <w:kern w:val="0"/>
          <w:sz w:val="21"/>
          <w:szCs w:val="21"/>
          <w:lang w:eastAsia="pl-PL"/>
          <w14:ligatures w14:val="none"/>
        </w:rPr>
        <w:t>uzupełniony i kompletny wniosek musi być podpisany przez osobę umocowaną do reprezentowania wnioskodawcy;</w:t>
      </w:r>
    </w:p>
    <w:p w14:paraId="4846BA41" w14:textId="77777777" w:rsidR="00F45FF8" w:rsidRPr="00F45FF8" w:rsidRDefault="00F45FF8" w:rsidP="00F45FF8">
      <w:pPr>
        <w:numPr>
          <w:ilvl w:val="0"/>
          <w:numId w:val="1"/>
        </w:numPr>
        <w:shd w:val="clear" w:color="auto" w:fill="FFFFFF"/>
        <w:spacing w:after="0" w:line="240" w:lineRule="auto"/>
        <w:ind w:left="1200" w:right="240"/>
        <w:rPr>
          <w:rFonts w:ascii="Arial" w:eastAsia="Times New Roman" w:hAnsi="Arial" w:cs="Arial"/>
          <w:color w:val="464646"/>
          <w:kern w:val="0"/>
          <w:sz w:val="21"/>
          <w:szCs w:val="21"/>
          <w:lang w:eastAsia="pl-PL"/>
          <w14:ligatures w14:val="none"/>
        </w:rPr>
      </w:pPr>
      <w:r w:rsidRPr="00F45FF8">
        <w:rPr>
          <w:rFonts w:ascii="Arial" w:eastAsia="Times New Roman" w:hAnsi="Arial" w:cs="Arial"/>
          <w:color w:val="464646"/>
          <w:kern w:val="0"/>
          <w:sz w:val="21"/>
          <w:szCs w:val="21"/>
          <w:lang w:eastAsia="pl-PL"/>
          <w14:ligatures w14:val="none"/>
        </w:rPr>
        <w:t>wraz z wnioskiem należy złożyć wszystkie wymagane oświadczenia lub dokumenty (pełnomocnictwo, statut, inny dokument określający organizację/przedmiot działalności wnioskodawcy itp. – jeżeli dotyczy);</w:t>
      </w:r>
    </w:p>
    <w:p w14:paraId="5C643404" w14:textId="77777777" w:rsidR="00F45FF8" w:rsidRPr="00F45FF8" w:rsidRDefault="00F45FF8" w:rsidP="00F45FF8">
      <w:pPr>
        <w:shd w:val="clear" w:color="auto" w:fill="FFFFFF"/>
        <w:spacing w:before="96" w:after="240" w:line="240" w:lineRule="auto"/>
        <w:rPr>
          <w:rFonts w:ascii="Arial" w:eastAsia="Times New Roman" w:hAnsi="Arial" w:cs="Arial"/>
          <w:color w:val="464646"/>
          <w:kern w:val="0"/>
          <w:sz w:val="21"/>
          <w:szCs w:val="21"/>
          <w:lang w:eastAsia="pl-PL"/>
          <w14:ligatures w14:val="none"/>
        </w:rPr>
      </w:pPr>
      <w:r w:rsidRPr="00F45FF8">
        <w:rPr>
          <w:rFonts w:ascii="Arial" w:eastAsia="Times New Roman" w:hAnsi="Arial" w:cs="Arial"/>
          <w:b/>
          <w:bCs/>
          <w:color w:val="464646"/>
          <w:kern w:val="0"/>
          <w:sz w:val="21"/>
          <w:szCs w:val="21"/>
          <w:lang w:eastAsia="pl-PL"/>
          <w14:ligatures w14:val="none"/>
        </w:rPr>
        <w:t>Termin i miejsce składania wniosku</w:t>
      </w:r>
      <w:r w:rsidRPr="00F45FF8">
        <w:rPr>
          <w:rFonts w:ascii="Arial" w:eastAsia="Times New Roman" w:hAnsi="Arial" w:cs="Arial"/>
          <w:color w:val="464646"/>
          <w:kern w:val="0"/>
          <w:sz w:val="21"/>
          <w:szCs w:val="21"/>
          <w:lang w:eastAsia="pl-PL"/>
          <w14:ligatures w14:val="none"/>
        </w:rPr>
        <w:br/>
        <w:t>Wnioski dotyczące nieodpłatnego przekazania lub darowizny należy złożyć w terminie</w:t>
      </w:r>
    </w:p>
    <w:p w14:paraId="0B2C6695" w14:textId="77777777" w:rsidR="00F45FF8" w:rsidRPr="00F45FF8" w:rsidRDefault="00F45FF8" w:rsidP="00F45FF8">
      <w:pPr>
        <w:shd w:val="clear" w:color="auto" w:fill="FFFFFF"/>
        <w:spacing w:before="96" w:after="240" w:line="240" w:lineRule="auto"/>
        <w:rPr>
          <w:rFonts w:ascii="Arial" w:eastAsia="Times New Roman" w:hAnsi="Arial" w:cs="Arial"/>
          <w:color w:val="464646"/>
          <w:kern w:val="0"/>
          <w:sz w:val="21"/>
          <w:szCs w:val="21"/>
          <w:lang w:eastAsia="pl-PL"/>
          <w14:ligatures w14:val="none"/>
        </w:rPr>
      </w:pPr>
      <w:r w:rsidRPr="00F45FF8">
        <w:rPr>
          <w:rFonts w:ascii="Arial" w:eastAsia="Times New Roman" w:hAnsi="Arial" w:cs="Arial"/>
          <w:color w:val="464646"/>
          <w:kern w:val="0"/>
          <w:sz w:val="21"/>
          <w:szCs w:val="21"/>
          <w:lang w:eastAsia="pl-PL"/>
          <w14:ligatures w14:val="none"/>
        </w:rPr>
        <w:t> </w:t>
      </w:r>
      <w:r w:rsidRPr="00F45FF8">
        <w:rPr>
          <w:rFonts w:ascii="Arial" w:eastAsia="Times New Roman" w:hAnsi="Arial" w:cs="Arial"/>
          <w:b/>
          <w:bCs/>
          <w:color w:val="464646"/>
          <w:kern w:val="0"/>
          <w:sz w:val="21"/>
          <w:szCs w:val="21"/>
          <w:lang w:eastAsia="pl-PL"/>
          <w14:ligatures w14:val="none"/>
        </w:rPr>
        <w:t>do 02.04.2026 r.:</w:t>
      </w:r>
    </w:p>
    <w:p w14:paraId="41680F89" w14:textId="77777777" w:rsidR="00F45FF8" w:rsidRPr="00F45FF8" w:rsidRDefault="00F45FF8" w:rsidP="00F45FF8">
      <w:pPr>
        <w:numPr>
          <w:ilvl w:val="0"/>
          <w:numId w:val="2"/>
        </w:numPr>
        <w:shd w:val="clear" w:color="auto" w:fill="FFFFFF"/>
        <w:spacing w:after="0" w:line="240" w:lineRule="auto"/>
        <w:ind w:left="1200" w:right="240"/>
        <w:rPr>
          <w:rFonts w:ascii="Arial" w:eastAsia="Times New Roman" w:hAnsi="Arial" w:cs="Arial"/>
          <w:color w:val="464646"/>
          <w:kern w:val="0"/>
          <w:sz w:val="21"/>
          <w:szCs w:val="21"/>
          <w:lang w:eastAsia="pl-PL"/>
          <w14:ligatures w14:val="none"/>
        </w:rPr>
      </w:pPr>
      <w:r w:rsidRPr="00F45FF8">
        <w:rPr>
          <w:rFonts w:ascii="Arial" w:eastAsia="Times New Roman" w:hAnsi="Arial" w:cs="Arial"/>
          <w:color w:val="464646"/>
          <w:kern w:val="0"/>
          <w:sz w:val="21"/>
          <w:szCs w:val="21"/>
          <w:lang w:eastAsia="pl-PL"/>
          <w14:ligatures w14:val="none"/>
        </w:rPr>
        <w:t xml:space="preserve">w formie elektronicznej: wniosek podpisany przy użyciu podpisu elektronicznego należy przesłać na </w:t>
      </w:r>
      <w:hyperlink r:id="rId5" w:history="1">
        <w:r w:rsidRPr="00F45FF8">
          <w:rPr>
            <w:rFonts w:ascii="Arial" w:eastAsia="Times New Roman" w:hAnsi="Arial" w:cs="Arial"/>
            <w:color w:val="467886"/>
            <w:kern w:val="0"/>
            <w:sz w:val="21"/>
            <w:szCs w:val="21"/>
            <w:u w:val="single"/>
            <w:lang w:eastAsia="pl-PL"/>
            <w14:ligatures w14:val="none"/>
          </w:rPr>
          <w:t>kuratorium@kuratorium.waw.pl</w:t>
        </w:r>
      </w:hyperlink>
      <w:r w:rsidRPr="00F45FF8">
        <w:rPr>
          <w:rFonts w:ascii="Arial" w:eastAsia="Times New Roman" w:hAnsi="Arial" w:cs="Arial"/>
          <w:color w:val="464646"/>
          <w:kern w:val="0"/>
          <w:sz w:val="21"/>
          <w:szCs w:val="21"/>
          <w:lang w:eastAsia="pl-PL"/>
          <w14:ligatures w14:val="none"/>
        </w:rPr>
        <w:t xml:space="preserve"> ;</w:t>
      </w:r>
    </w:p>
    <w:p w14:paraId="5028D775" w14:textId="77777777" w:rsidR="00F45FF8" w:rsidRPr="00F45FF8" w:rsidRDefault="00F45FF8" w:rsidP="00F45FF8">
      <w:pPr>
        <w:numPr>
          <w:ilvl w:val="0"/>
          <w:numId w:val="2"/>
        </w:numPr>
        <w:shd w:val="clear" w:color="auto" w:fill="FFFFFF"/>
        <w:spacing w:after="0" w:line="240" w:lineRule="auto"/>
        <w:ind w:left="1200" w:right="240"/>
        <w:rPr>
          <w:rFonts w:ascii="Arial" w:eastAsia="Times New Roman" w:hAnsi="Arial" w:cs="Arial"/>
          <w:color w:val="464646"/>
          <w:kern w:val="0"/>
          <w:sz w:val="21"/>
          <w:szCs w:val="21"/>
          <w:lang w:eastAsia="pl-PL"/>
          <w14:ligatures w14:val="none"/>
        </w:rPr>
      </w:pPr>
      <w:r w:rsidRPr="00F45FF8">
        <w:rPr>
          <w:rFonts w:ascii="Arial" w:eastAsia="Times New Roman" w:hAnsi="Arial" w:cs="Arial"/>
          <w:color w:val="464646"/>
          <w:kern w:val="0"/>
          <w:sz w:val="21"/>
          <w:szCs w:val="21"/>
          <w:lang w:eastAsia="pl-PL"/>
          <w14:ligatures w14:val="none"/>
        </w:rPr>
        <w:t>w formie papierowej: dopuszcza się przesłanie wniosku w formie skanu na powyższy adres. Oryginał wniosku, w takim wypadku, należy złożyć lub przesłać na adres siedziby:</w:t>
      </w:r>
      <w:r w:rsidRPr="00F45FF8">
        <w:rPr>
          <w:rFonts w:ascii="Arial" w:eastAsia="Times New Roman" w:hAnsi="Arial" w:cs="Arial"/>
          <w:color w:val="464646"/>
          <w:kern w:val="0"/>
          <w:sz w:val="21"/>
          <w:szCs w:val="21"/>
          <w:lang w:eastAsia="pl-PL"/>
          <w14:ligatures w14:val="none"/>
        </w:rPr>
        <w:br/>
        <w:t xml:space="preserve">Kuratorium Oświaty w Warszawie  Al. Jerozolimskie 32 00-024 Warszawa  </w:t>
      </w:r>
    </w:p>
    <w:p w14:paraId="49DE716E" w14:textId="77777777" w:rsidR="00F45FF8" w:rsidRPr="00F45FF8" w:rsidRDefault="00F45FF8" w:rsidP="00F45FF8">
      <w:pPr>
        <w:shd w:val="clear" w:color="auto" w:fill="FFFFFF"/>
        <w:spacing w:before="96" w:after="240" w:line="240" w:lineRule="auto"/>
        <w:rPr>
          <w:rFonts w:ascii="Arial" w:eastAsia="Times New Roman" w:hAnsi="Arial" w:cs="Arial"/>
          <w:b/>
          <w:bCs/>
          <w:color w:val="464646"/>
          <w:kern w:val="0"/>
          <w:sz w:val="21"/>
          <w:szCs w:val="21"/>
          <w:lang w:eastAsia="pl-PL"/>
          <w14:ligatures w14:val="none"/>
        </w:rPr>
      </w:pPr>
      <w:r w:rsidRPr="00F45FF8">
        <w:rPr>
          <w:rFonts w:ascii="Arial" w:eastAsia="Times New Roman" w:hAnsi="Arial" w:cs="Arial"/>
          <w:b/>
          <w:bCs/>
          <w:color w:val="464646"/>
          <w:kern w:val="0"/>
          <w:sz w:val="21"/>
          <w:szCs w:val="21"/>
          <w:lang w:eastAsia="pl-PL"/>
          <w14:ligatures w14:val="none"/>
        </w:rPr>
        <w:lastRenderedPageBreak/>
        <w:t>Sposób wyboru wniosków:</w:t>
      </w:r>
    </w:p>
    <w:p w14:paraId="75B25F33" w14:textId="77777777" w:rsidR="00F45FF8" w:rsidRPr="00F45FF8" w:rsidRDefault="00F45FF8" w:rsidP="00F45FF8">
      <w:pPr>
        <w:shd w:val="clear" w:color="auto" w:fill="FFFFFF"/>
        <w:spacing w:before="96" w:after="240" w:line="240" w:lineRule="auto"/>
        <w:rPr>
          <w:rFonts w:ascii="Arial" w:eastAsia="Times New Roman" w:hAnsi="Arial" w:cs="Arial"/>
          <w:color w:val="464646"/>
          <w:kern w:val="0"/>
          <w:sz w:val="21"/>
          <w:szCs w:val="21"/>
          <w:lang w:eastAsia="pl-PL"/>
          <w14:ligatures w14:val="none"/>
        </w:rPr>
      </w:pPr>
    </w:p>
    <w:p w14:paraId="56FB2A5A" w14:textId="77777777" w:rsidR="00F45FF8" w:rsidRPr="00F45FF8" w:rsidRDefault="00F45FF8" w:rsidP="00F45FF8">
      <w:pPr>
        <w:numPr>
          <w:ilvl w:val="0"/>
          <w:numId w:val="3"/>
        </w:numPr>
        <w:shd w:val="clear" w:color="auto" w:fill="FFFFFF"/>
        <w:spacing w:after="0" w:line="240" w:lineRule="auto"/>
        <w:ind w:left="1200" w:right="240"/>
        <w:rPr>
          <w:rFonts w:ascii="Arial" w:eastAsia="Times New Roman" w:hAnsi="Arial" w:cs="Arial"/>
          <w:color w:val="464646"/>
          <w:kern w:val="0"/>
          <w:sz w:val="21"/>
          <w:szCs w:val="21"/>
          <w:lang w:eastAsia="pl-PL"/>
          <w14:ligatures w14:val="none"/>
        </w:rPr>
      </w:pPr>
      <w:r w:rsidRPr="00F45FF8">
        <w:rPr>
          <w:rFonts w:ascii="Arial" w:eastAsia="Times New Roman" w:hAnsi="Arial" w:cs="Arial"/>
          <w:color w:val="464646"/>
          <w:kern w:val="0"/>
          <w:sz w:val="21"/>
          <w:szCs w:val="21"/>
          <w:lang w:eastAsia="pl-PL"/>
          <w14:ligatures w14:val="none"/>
        </w:rPr>
        <w:t>w pierwszej kolejności uwzględnia się potrzeby jednostek sektora finansów publicznych (§ 7 ust.2 Rozporządzenia);</w:t>
      </w:r>
    </w:p>
    <w:p w14:paraId="7C949E3A" w14:textId="77777777" w:rsidR="00F45FF8" w:rsidRPr="00F45FF8" w:rsidRDefault="00F45FF8" w:rsidP="00F45FF8">
      <w:pPr>
        <w:numPr>
          <w:ilvl w:val="0"/>
          <w:numId w:val="3"/>
        </w:numPr>
        <w:shd w:val="clear" w:color="auto" w:fill="FFFFFF"/>
        <w:spacing w:after="0" w:line="240" w:lineRule="auto"/>
        <w:ind w:left="1200" w:right="240"/>
        <w:rPr>
          <w:rFonts w:ascii="Arial" w:eastAsia="Times New Roman" w:hAnsi="Arial" w:cs="Arial"/>
          <w:color w:val="464646"/>
          <w:kern w:val="0"/>
          <w:sz w:val="21"/>
          <w:szCs w:val="21"/>
          <w:lang w:eastAsia="pl-PL"/>
          <w14:ligatures w14:val="none"/>
        </w:rPr>
      </w:pPr>
      <w:r w:rsidRPr="00F45FF8">
        <w:rPr>
          <w:rFonts w:ascii="Arial" w:eastAsia="Times New Roman" w:hAnsi="Arial" w:cs="Arial"/>
          <w:color w:val="464646"/>
          <w:kern w:val="0"/>
          <w:sz w:val="21"/>
          <w:szCs w:val="21"/>
          <w:lang w:eastAsia="pl-PL"/>
          <w14:ligatures w14:val="none"/>
        </w:rPr>
        <w:t>w przypadku, gdy co najmniej 2 jednostki będą zainteresowane otrzymaniem składnika majątku, w pierwszej kolejności będą realizowane wnioski o nieodpłatne przekazanie, w drugiej kolejności o darowiznę;</w:t>
      </w:r>
    </w:p>
    <w:p w14:paraId="6C87079C" w14:textId="77777777" w:rsidR="00F45FF8" w:rsidRPr="00F45FF8" w:rsidRDefault="00F45FF8" w:rsidP="00F45FF8">
      <w:pPr>
        <w:numPr>
          <w:ilvl w:val="0"/>
          <w:numId w:val="3"/>
        </w:numPr>
        <w:shd w:val="clear" w:color="auto" w:fill="FFFFFF"/>
        <w:spacing w:after="0" w:line="240" w:lineRule="auto"/>
        <w:ind w:left="1200" w:right="240"/>
        <w:rPr>
          <w:rFonts w:ascii="Arial" w:eastAsia="Times New Roman" w:hAnsi="Arial" w:cs="Arial"/>
          <w:color w:val="464646"/>
          <w:kern w:val="0"/>
          <w:sz w:val="21"/>
          <w:szCs w:val="21"/>
          <w:lang w:eastAsia="pl-PL"/>
          <w14:ligatures w14:val="none"/>
        </w:rPr>
      </w:pPr>
      <w:r w:rsidRPr="00F45FF8">
        <w:rPr>
          <w:rFonts w:ascii="Arial" w:eastAsia="Times New Roman" w:hAnsi="Arial" w:cs="Arial"/>
          <w:color w:val="464646"/>
          <w:kern w:val="0"/>
          <w:sz w:val="21"/>
          <w:szCs w:val="21"/>
          <w:lang w:eastAsia="pl-PL"/>
          <w14:ligatures w14:val="none"/>
        </w:rPr>
        <w:t>w przypadku, gdy co najmniej 2 jednostki złożą wniosek o nieodpłatne przekazanie składnika, rozpatrywanie wniosków odbywać się będzie zgodnie z kolejnością ich złożenia (data, godzina);</w:t>
      </w:r>
    </w:p>
    <w:p w14:paraId="133BE549" w14:textId="77777777" w:rsidR="00F45FF8" w:rsidRPr="00F45FF8" w:rsidRDefault="00F45FF8" w:rsidP="00F45FF8">
      <w:pPr>
        <w:numPr>
          <w:ilvl w:val="0"/>
          <w:numId w:val="3"/>
        </w:numPr>
        <w:shd w:val="clear" w:color="auto" w:fill="FFFFFF"/>
        <w:spacing w:after="0" w:line="240" w:lineRule="auto"/>
        <w:ind w:left="1200" w:right="240"/>
        <w:rPr>
          <w:rFonts w:ascii="Arial" w:eastAsia="Times New Roman" w:hAnsi="Arial" w:cs="Arial"/>
          <w:color w:val="464646"/>
          <w:kern w:val="0"/>
          <w:sz w:val="21"/>
          <w:szCs w:val="21"/>
          <w:lang w:eastAsia="pl-PL"/>
          <w14:ligatures w14:val="none"/>
        </w:rPr>
      </w:pPr>
      <w:r w:rsidRPr="00F45FF8">
        <w:rPr>
          <w:rFonts w:ascii="Arial" w:eastAsia="Times New Roman" w:hAnsi="Arial" w:cs="Arial"/>
          <w:color w:val="464646"/>
          <w:kern w:val="0"/>
          <w:sz w:val="21"/>
          <w:szCs w:val="21"/>
          <w:lang w:eastAsia="pl-PL"/>
          <w14:ligatures w14:val="none"/>
        </w:rPr>
        <w:t>w przypadku, gdy co najmniej 2 jednostki złożą wniosek o darowiznę składnika, decydująca będzie kolejność ich złożenia (data, godzina) oraz analiza potrzeb danej jednostki;</w:t>
      </w:r>
    </w:p>
    <w:p w14:paraId="7BD7CD80" w14:textId="77777777" w:rsidR="00F45FF8" w:rsidRPr="00F45FF8" w:rsidRDefault="00F45FF8" w:rsidP="00F45FF8">
      <w:pPr>
        <w:numPr>
          <w:ilvl w:val="0"/>
          <w:numId w:val="3"/>
        </w:numPr>
        <w:shd w:val="clear" w:color="auto" w:fill="FFFFFF"/>
        <w:spacing w:after="0" w:line="240" w:lineRule="auto"/>
        <w:ind w:left="1200" w:right="240"/>
        <w:rPr>
          <w:rFonts w:ascii="Arial" w:eastAsia="Times New Roman" w:hAnsi="Arial" w:cs="Arial"/>
          <w:color w:val="464646"/>
          <w:kern w:val="0"/>
          <w:sz w:val="21"/>
          <w:szCs w:val="21"/>
          <w:lang w:eastAsia="pl-PL"/>
          <w14:ligatures w14:val="none"/>
        </w:rPr>
      </w:pPr>
      <w:r w:rsidRPr="00F45FF8">
        <w:rPr>
          <w:rFonts w:ascii="Arial" w:eastAsia="Times New Roman" w:hAnsi="Arial" w:cs="Arial"/>
          <w:color w:val="464646"/>
          <w:kern w:val="0"/>
          <w:sz w:val="21"/>
          <w:szCs w:val="21"/>
          <w:lang w:eastAsia="pl-PL"/>
          <w14:ligatures w14:val="none"/>
        </w:rPr>
        <w:t>Wnioski niepodpisane, niekompletne, przekazane wyłącznie w formie skanu nie zostaną rozpatrzone.</w:t>
      </w:r>
    </w:p>
    <w:p w14:paraId="20F3993E" w14:textId="77777777" w:rsidR="00F45FF8" w:rsidRPr="00F45FF8" w:rsidRDefault="00F45FF8" w:rsidP="00F45FF8">
      <w:pPr>
        <w:shd w:val="clear" w:color="auto" w:fill="FFFFFF"/>
        <w:spacing w:before="96" w:after="240" w:line="240" w:lineRule="auto"/>
        <w:rPr>
          <w:rFonts w:ascii="Arial" w:eastAsia="Times New Roman" w:hAnsi="Arial" w:cs="Arial"/>
          <w:color w:val="464646"/>
          <w:kern w:val="0"/>
          <w:sz w:val="21"/>
          <w:szCs w:val="21"/>
          <w:lang w:eastAsia="pl-PL"/>
          <w14:ligatures w14:val="none"/>
        </w:rPr>
      </w:pPr>
      <w:r w:rsidRPr="00F45FF8">
        <w:rPr>
          <w:rFonts w:ascii="Arial" w:eastAsia="Times New Roman" w:hAnsi="Arial" w:cs="Arial"/>
          <w:b/>
          <w:bCs/>
          <w:color w:val="464646"/>
          <w:kern w:val="0"/>
          <w:sz w:val="21"/>
          <w:szCs w:val="21"/>
          <w:lang w:eastAsia="pl-PL"/>
          <w14:ligatures w14:val="none"/>
        </w:rPr>
        <w:t>Informacje dodatkowe</w:t>
      </w:r>
    </w:p>
    <w:p w14:paraId="3C4AAF2C" w14:textId="77777777" w:rsidR="00F45FF8" w:rsidRPr="00F45FF8" w:rsidRDefault="00F45FF8" w:rsidP="00F45FF8">
      <w:pPr>
        <w:numPr>
          <w:ilvl w:val="0"/>
          <w:numId w:val="4"/>
        </w:numPr>
        <w:shd w:val="clear" w:color="auto" w:fill="FFFFFF"/>
        <w:spacing w:after="0" w:line="240" w:lineRule="auto"/>
        <w:ind w:left="1200" w:right="240"/>
        <w:rPr>
          <w:rFonts w:ascii="Arial" w:eastAsia="Times New Roman" w:hAnsi="Arial" w:cs="Arial"/>
          <w:color w:val="464646"/>
          <w:kern w:val="0"/>
          <w:sz w:val="21"/>
          <w:szCs w:val="21"/>
          <w:lang w:eastAsia="pl-PL"/>
          <w14:ligatures w14:val="none"/>
        </w:rPr>
      </w:pPr>
      <w:r w:rsidRPr="00F45FF8">
        <w:rPr>
          <w:rFonts w:ascii="Arial" w:eastAsia="Times New Roman" w:hAnsi="Arial" w:cs="Arial"/>
          <w:color w:val="464646"/>
          <w:kern w:val="0"/>
          <w:sz w:val="21"/>
          <w:szCs w:val="21"/>
          <w:lang w:eastAsia="pl-PL"/>
          <w14:ligatures w14:val="none"/>
        </w:rPr>
        <w:t>wszelkie czynności, koszty i ryzyka związanie z obiorem wnioskowanych składników (demontaż, załadunek, transport, ewentualna naprawa powstałych w związku z tymi czynnościami uszkodzeń w mieniu jednostki) ponosi Wnioskodawca;</w:t>
      </w:r>
    </w:p>
    <w:p w14:paraId="182F080C" w14:textId="77777777" w:rsidR="00F45FF8" w:rsidRPr="00F45FF8" w:rsidRDefault="00F45FF8" w:rsidP="00F45FF8">
      <w:pPr>
        <w:shd w:val="clear" w:color="auto" w:fill="FFFFFF"/>
        <w:spacing w:after="0" w:line="240" w:lineRule="auto"/>
        <w:ind w:left="840" w:right="240"/>
        <w:rPr>
          <w:rFonts w:ascii="Arial" w:eastAsia="Times New Roman" w:hAnsi="Arial" w:cs="Arial"/>
          <w:color w:val="464646"/>
          <w:kern w:val="0"/>
          <w:sz w:val="21"/>
          <w:szCs w:val="21"/>
          <w:lang w:eastAsia="pl-PL"/>
          <w14:ligatures w14:val="none"/>
        </w:rPr>
      </w:pPr>
    </w:p>
    <w:p w14:paraId="5F547EC3" w14:textId="42211E7D" w:rsidR="00F45FF8" w:rsidRPr="00F45FF8" w:rsidRDefault="00F45FF8" w:rsidP="00F45FF8">
      <w:pPr>
        <w:shd w:val="clear" w:color="auto" w:fill="FFFFFF"/>
        <w:spacing w:before="96" w:after="240" w:line="240" w:lineRule="auto"/>
        <w:rPr>
          <w:rFonts w:ascii="Arial" w:eastAsia="Times New Roman" w:hAnsi="Arial" w:cs="Arial"/>
          <w:color w:val="464646"/>
          <w:kern w:val="0"/>
          <w:sz w:val="21"/>
          <w:szCs w:val="21"/>
          <w:lang w:eastAsia="pl-PL"/>
          <w14:ligatures w14:val="none"/>
        </w:rPr>
      </w:pPr>
      <w:r w:rsidRPr="00F45FF8">
        <w:rPr>
          <w:rFonts w:ascii="Arial" w:eastAsia="Times New Roman" w:hAnsi="Arial" w:cs="Arial"/>
          <w:b/>
          <w:bCs/>
          <w:color w:val="464646"/>
          <w:kern w:val="0"/>
          <w:sz w:val="21"/>
          <w:szCs w:val="21"/>
          <w:lang w:eastAsia="pl-PL"/>
          <w14:ligatures w14:val="none"/>
        </w:rPr>
        <w:t>Osoba wyznaczona do kontaktu</w:t>
      </w:r>
      <w:r w:rsidRPr="00F45FF8">
        <w:rPr>
          <w:rFonts w:ascii="Arial" w:eastAsia="Times New Roman" w:hAnsi="Arial" w:cs="Arial"/>
          <w:color w:val="464646"/>
          <w:kern w:val="0"/>
          <w:sz w:val="21"/>
          <w:szCs w:val="21"/>
          <w:lang w:eastAsia="pl-PL"/>
          <w14:ligatures w14:val="none"/>
        </w:rPr>
        <w:br/>
        <w:t xml:space="preserve">Andrzelika Czarnogórska ,  22 551 24 00 wew. 1022 </w:t>
      </w:r>
    </w:p>
    <w:p w14:paraId="478FE6D7" w14:textId="77777777" w:rsidR="00F45FF8" w:rsidRPr="00F45FF8" w:rsidRDefault="00F45FF8" w:rsidP="00F45FF8">
      <w:pPr>
        <w:shd w:val="clear" w:color="auto" w:fill="FFFFFF"/>
        <w:spacing w:before="96" w:after="240" w:line="240" w:lineRule="auto"/>
        <w:rPr>
          <w:rFonts w:ascii="Arial" w:eastAsia="Times New Roman" w:hAnsi="Arial" w:cs="Arial"/>
          <w:color w:val="464646"/>
          <w:kern w:val="0"/>
          <w:sz w:val="21"/>
          <w:szCs w:val="21"/>
          <w:lang w:eastAsia="pl-PL"/>
          <w14:ligatures w14:val="none"/>
        </w:rPr>
      </w:pPr>
      <w:r w:rsidRPr="00F45FF8">
        <w:rPr>
          <w:rFonts w:ascii="Arial" w:eastAsia="Times New Roman" w:hAnsi="Arial" w:cs="Arial"/>
          <w:color w:val="464646"/>
          <w:kern w:val="0"/>
          <w:sz w:val="21"/>
          <w:szCs w:val="21"/>
          <w:lang w:eastAsia="pl-PL"/>
          <w14:ligatures w14:val="none"/>
        </w:rPr>
        <w:t>Podstawa prawna:</w:t>
      </w:r>
      <w:r w:rsidRPr="00F45FF8">
        <w:rPr>
          <w:rFonts w:ascii="Arial" w:eastAsia="Times New Roman" w:hAnsi="Arial" w:cs="Arial"/>
          <w:color w:val="464646"/>
          <w:kern w:val="0"/>
          <w:sz w:val="21"/>
          <w:szCs w:val="21"/>
          <w:lang w:eastAsia="pl-PL"/>
          <w14:ligatures w14:val="none"/>
        </w:rPr>
        <w:br/>
        <w:t>1. Rozporządzenie Rady Ministrów z dnia 21 października 2019 r. w sprawie szczegółowego sposobu gospodarowania składnikami rzeczowymi majątku ruchomego Skarbu Państwa (Dz.U. z 2023 r., poz. 2303</w:t>
      </w:r>
      <w:r w:rsidRPr="00F45FF8">
        <w:rPr>
          <w:rFonts w:ascii="Arial" w:eastAsia="Times New Roman" w:hAnsi="Arial" w:cs="Arial"/>
          <w:color w:val="464646"/>
          <w:kern w:val="0"/>
          <w:sz w:val="21"/>
          <w:szCs w:val="21"/>
          <w:lang w:eastAsia="pl-PL"/>
          <w14:ligatures w14:val="none"/>
        </w:rPr>
        <w:br/>
        <w:t>z późniejszymi zmianami).</w:t>
      </w:r>
      <w:r w:rsidRPr="00F45FF8">
        <w:rPr>
          <w:rFonts w:ascii="Arial" w:eastAsia="Times New Roman" w:hAnsi="Arial" w:cs="Arial"/>
          <w:color w:val="464646"/>
          <w:kern w:val="0"/>
          <w:sz w:val="21"/>
          <w:szCs w:val="21"/>
          <w:lang w:eastAsia="pl-PL"/>
          <w14:ligatures w14:val="none"/>
        </w:rPr>
        <w:br/>
        <w:t>2. Instrukcja określająca zasady gospodarowania składnikami rzeczowymi majątku ruchomego oraz praw na dobrach niematerialnych Izby Administracji Skarbowej w Zielonej Górze, urzędów skarbowych województwa lubuskiego oraz Lubuskiego Urzędu Celno-Skarbowego.</w:t>
      </w:r>
    </w:p>
    <w:p w14:paraId="7697A470" w14:textId="77777777" w:rsidR="00F45FF8" w:rsidRDefault="00F45FF8" w:rsidP="00F45FF8">
      <w:pPr>
        <w:shd w:val="clear" w:color="auto" w:fill="FFFFFF"/>
        <w:spacing w:before="96" w:after="240" w:line="240" w:lineRule="auto"/>
        <w:rPr>
          <w:rFonts w:ascii="Arial" w:eastAsia="Times New Roman" w:hAnsi="Arial" w:cs="Arial"/>
          <w:color w:val="464646"/>
          <w:kern w:val="0"/>
          <w:sz w:val="21"/>
          <w:szCs w:val="21"/>
          <w:lang w:eastAsia="pl-PL"/>
          <w14:ligatures w14:val="none"/>
        </w:rPr>
      </w:pPr>
      <w:r w:rsidRPr="00F45FF8">
        <w:rPr>
          <w:rFonts w:ascii="Arial" w:eastAsia="Times New Roman" w:hAnsi="Arial" w:cs="Arial"/>
          <w:color w:val="464646"/>
          <w:kern w:val="0"/>
          <w:sz w:val="21"/>
          <w:szCs w:val="21"/>
          <w:lang w:eastAsia="pl-PL"/>
          <w14:ligatures w14:val="none"/>
        </w:rPr>
        <w:t>Załączniki:</w:t>
      </w:r>
    </w:p>
    <w:p w14:paraId="1F4671AB" w14:textId="201F083C" w:rsidR="005B5DD9" w:rsidRDefault="005B5DD9" w:rsidP="005B5DD9">
      <w:pPr>
        <w:pStyle w:val="Akapitzlist"/>
        <w:numPr>
          <w:ilvl w:val="0"/>
          <w:numId w:val="5"/>
        </w:numPr>
        <w:shd w:val="clear" w:color="auto" w:fill="FFFFFF"/>
        <w:spacing w:before="96" w:after="240" w:line="240" w:lineRule="auto"/>
        <w:rPr>
          <w:rFonts w:ascii="Arial" w:eastAsia="Times New Roman" w:hAnsi="Arial" w:cs="Arial"/>
          <w:color w:val="464646"/>
          <w:kern w:val="0"/>
          <w:sz w:val="21"/>
          <w:szCs w:val="21"/>
          <w:lang w:eastAsia="pl-PL"/>
          <w14:ligatures w14:val="none"/>
        </w:rPr>
      </w:pPr>
      <w:r>
        <w:rPr>
          <w:rFonts w:ascii="Arial" w:eastAsia="Times New Roman" w:hAnsi="Arial" w:cs="Arial"/>
          <w:color w:val="464646"/>
          <w:kern w:val="0"/>
          <w:sz w:val="21"/>
          <w:szCs w:val="21"/>
          <w:lang w:eastAsia="pl-PL"/>
          <w14:ligatures w14:val="none"/>
        </w:rPr>
        <w:t xml:space="preserve">wniosek </w:t>
      </w:r>
      <w:r w:rsidRPr="005B5DD9">
        <w:rPr>
          <w:rFonts w:ascii="Arial" w:eastAsia="Times New Roman" w:hAnsi="Arial" w:cs="Arial"/>
          <w:color w:val="464646"/>
          <w:kern w:val="0"/>
          <w:sz w:val="21"/>
          <w:szCs w:val="21"/>
          <w:lang w:eastAsia="pl-PL"/>
          <w14:ligatures w14:val="none"/>
        </w:rPr>
        <w:t>o przekazanie w formie darowizny składnika</w:t>
      </w:r>
      <w:r>
        <w:rPr>
          <w:rFonts w:ascii="Arial" w:eastAsia="Times New Roman" w:hAnsi="Arial" w:cs="Arial"/>
          <w:color w:val="464646"/>
          <w:kern w:val="0"/>
          <w:sz w:val="21"/>
          <w:szCs w:val="21"/>
          <w:lang w:eastAsia="pl-PL"/>
          <w14:ligatures w14:val="none"/>
        </w:rPr>
        <w:t xml:space="preserve"> majątku ruchomego </w:t>
      </w:r>
    </w:p>
    <w:p w14:paraId="604D0795" w14:textId="6ACCF8E7" w:rsidR="005B5DD9" w:rsidRPr="005B5DD9" w:rsidRDefault="005B5DD9" w:rsidP="005B5DD9">
      <w:pPr>
        <w:pStyle w:val="Akapitzlist"/>
        <w:numPr>
          <w:ilvl w:val="0"/>
          <w:numId w:val="5"/>
        </w:numPr>
        <w:shd w:val="clear" w:color="auto" w:fill="FFFFFF"/>
        <w:spacing w:before="96" w:after="240" w:line="240" w:lineRule="auto"/>
        <w:rPr>
          <w:rFonts w:ascii="Arial" w:eastAsia="Times New Roman" w:hAnsi="Arial" w:cs="Arial"/>
          <w:color w:val="464646"/>
          <w:kern w:val="0"/>
          <w:sz w:val="21"/>
          <w:szCs w:val="21"/>
          <w:lang w:eastAsia="pl-PL"/>
          <w14:ligatures w14:val="none"/>
        </w:rPr>
      </w:pPr>
      <w:r>
        <w:rPr>
          <w:rFonts w:ascii="Arial" w:eastAsia="Times New Roman" w:hAnsi="Arial" w:cs="Arial"/>
          <w:color w:val="464646"/>
          <w:kern w:val="0"/>
          <w:sz w:val="21"/>
          <w:szCs w:val="21"/>
          <w:lang w:eastAsia="pl-PL"/>
          <w14:ligatures w14:val="none"/>
        </w:rPr>
        <w:t xml:space="preserve">wniosek </w:t>
      </w:r>
      <w:r w:rsidRPr="005B5DD9">
        <w:rPr>
          <w:rFonts w:ascii="Arial" w:eastAsia="Times New Roman" w:hAnsi="Arial" w:cs="Arial"/>
          <w:color w:val="464646"/>
          <w:kern w:val="0"/>
          <w:sz w:val="21"/>
          <w:szCs w:val="21"/>
          <w:lang w:eastAsia="pl-PL"/>
          <w14:ligatures w14:val="none"/>
        </w:rPr>
        <w:t>o nieodpłatne przekazanie składnika rzeczowego majątku ruchomego</w:t>
      </w:r>
    </w:p>
    <w:p w14:paraId="31607DF4" w14:textId="77777777" w:rsidR="00F45FF8" w:rsidRDefault="00F45FF8"/>
    <w:sectPr w:rsidR="00F45F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D012C"/>
    <w:multiLevelType w:val="multilevel"/>
    <w:tmpl w:val="4B28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5920F7"/>
    <w:multiLevelType w:val="multilevel"/>
    <w:tmpl w:val="C0809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34368A"/>
    <w:multiLevelType w:val="hybridMultilevel"/>
    <w:tmpl w:val="AC687F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D247B08"/>
    <w:multiLevelType w:val="multilevel"/>
    <w:tmpl w:val="85DC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2D6711"/>
    <w:multiLevelType w:val="multilevel"/>
    <w:tmpl w:val="8FF08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9818201">
    <w:abstractNumId w:val="0"/>
  </w:num>
  <w:num w:numId="2" w16cid:durableId="1229799512">
    <w:abstractNumId w:val="4"/>
  </w:num>
  <w:num w:numId="3" w16cid:durableId="935866496">
    <w:abstractNumId w:val="1"/>
  </w:num>
  <w:num w:numId="4" w16cid:durableId="1136987272">
    <w:abstractNumId w:val="3"/>
  </w:num>
  <w:num w:numId="5" w16cid:durableId="1184243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FF8"/>
    <w:rsid w:val="005B5DD9"/>
    <w:rsid w:val="00724CA8"/>
    <w:rsid w:val="009F4B38"/>
    <w:rsid w:val="00B65D9E"/>
    <w:rsid w:val="00CC1C82"/>
    <w:rsid w:val="00F45F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91286"/>
  <w15:chartTrackingRefBased/>
  <w15:docId w15:val="{0CF9AC41-4C2F-4ED9-B02F-A35D8E1D6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45F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45F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45FF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45FF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45FF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45FF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45FF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45FF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45FF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45FF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45FF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45FF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45FF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45FF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45FF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45FF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45FF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45FF8"/>
    <w:rPr>
      <w:rFonts w:eastAsiaTheme="majorEastAsia" w:cstheme="majorBidi"/>
      <w:color w:val="272727" w:themeColor="text1" w:themeTint="D8"/>
    </w:rPr>
  </w:style>
  <w:style w:type="paragraph" w:styleId="Tytu">
    <w:name w:val="Title"/>
    <w:basedOn w:val="Normalny"/>
    <w:next w:val="Normalny"/>
    <w:link w:val="TytuZnak"/>
    <w:uiPriority w:val="10"/>
    <w:qFormat/>
    <w:rsid w:val="00F45F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45FF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45FF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45FF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45FF8"/>
    <w:pPr>
      <w:spacing w:before="160"/>
      <w:jc w:val="center"/>
    </w:pPr>
    <w:rPr>
      <w:i/>
      <w:iCs/>
      <w:color w:val="404040" w:themeColor="text1" w:themeTint="BF"/>
    </w:rPr>
  </w:style>
  <w:style w:type="character" w:customStyle="1" w:styleId="CytatZnak">
    <w:name w:val="Cytat Znak"/>
    <w:basedOn w:val="Domylnaczcionkaakapitu"/>
    <w:link w:val="Cytat"/>
    <w:uiPriority w:val="29"/>
    <w:rsid w:val="00F45FF8"/>
    <w:rPr>
      <w:i/>
      <w:iCs/>
      <w:color w:val="404040" w:themeColor="text1" w:themeTint="BF"/>
    </w:rPr>
  </w:style>
  <w:style w:type="paragraph" w:styleId="Akapitzlist">
    <w:name w:val="List Paragraph"/>
    <w:basedOn w:val="Normalny"/>
    <w:uiPriority w:val="34"/>
    <w:qFormat/>
    <w:rsid w:val="00F45FF8"/>
    <w:pPr>
      <w:ind w:left="720"/>
      <w:contextualSpacing/>
    </w:pPr>
  </w:style>
  <w:style w:type="character" w:styleId="Wyrnienieintensywne">
    <w:name w:val="Intense Emphasis"/>
    <w:basedOn w:val="Domylnaczcionkaakapitu"/>
    <w:uiPriority w:val="21"/>
    <w:qFormat/>
    <w:rsid w:val="00F45FF8"/>
    <w:rPr>
      <w:i/>
      <w:iCs/>
      <w:color w:val="0F4761" w:themeColor="accent1" w:themeShade="BF"/>
    </w:rPr>
  </w:style>
  <w:style w:type="paragraph" w:styleId="Cytatintensywny">
    <w:name w:val="Intense Quote"/>
    <w:basedOn w:val="Normalny"/>
    <w:next w:val="Normalny"/>
    <w:link w:val="CytatintensywnyZnak"/>
    <w:uiPriority w:val="30"/>
    <w:qFormat/>
    <w:rsid w:val="00F45F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45FF8"/>
    <w:rPr>
      <w:i/>
      <w:iCs/>
      <w:color w:val="0F4761" w:themeColor="accent1" w:themeShade="BF"/>
    </w:rPr>
  </w:style>
  <w:style w:type="character" w:styleId="Odwoanieintensywne">
    <w:name w:val="Intense Reference"/>
    <w:basedOn w:val="Domylnaczcionkaakapitu"/>
    <w:uiPriority w:val="32"/>
    <w:qFormat/>
    <w:rsid w:val="00F45F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uratorium@kuratorium.wa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684</Words>
  <Characters>4109</Characters>
  <Application>Microsoft Office Word</Application>
  <DocSecurity>0</DocSecurity>
  <Lines>34</Lines>
  <Paragraphs>9</Paragraphs>
  <ScaleCrop>false</ScaleCrop>
  <Company>Kuratorium Oświaty w Warszawie</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Roman</dc:creator>
  <cp:keywords/>
  <dc:description/>
  <cp:lastModifiedBy>Agnieszka Roman</cp:lastModifiedBy>
  <cp:revision>2</cp:revision>
  <dcterms:created xsi:type="dcterms:W3CDTF">2026-03-20T07:43:00Z</dcterms:created>
  <dcterms:modified xsi:type="dcterms:W3CDTF">2026-03-20T07:43:00Z</dcterms:modified>
</cp:coreProperties>
</file>