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D0" w:rsidRDefault="005827D0">
      <w:bookmarkStart w:id="0" w:name="_GoBack"/>
      <w:bookmarkEnd w:id="0"/>
    </w:p>
    <w:p w:rsidR="00326244" w:rsidRDefault="00326244" w:rsidP="0032624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Część I</w:t>
      </w:r>
    </w:p>
    <w:p w:rsidR="005827D0" w:rsidRDefault="00326244" w:rsidP="0032624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Zasady ogólne</w:t>
      </w:r>
    </w:p>
    <w:p w:rsidR="00326244" w:rsidRPr="00171EA5" w:rsidRDefault="00326244" w:rsidP="00326244">
      <w:pPr>
        <w:spacing w:after="0" w:line="240" w:lineRule="auto"/>
        <w:contextualSpacing/>
        <w:jc w:val="center"/>
        <w:rPr>
          <w:b/>
        </w:rPr>
      </w:pPr>
    </w:p>
    <w:p w:rsidR="005827D0" w:rsidRDefault="005827D0" w:rsidP="005827D0">
      <w:r>
        <w:t>Skanowaniu nie podlegają przesyłki: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o</w:t>
      </w:r>
      <w:r w:rsidR="005827D0">
        <w:t xml:space="preserve"> rozmiarze strony większym niż A4;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o</w:t>
      </w:r>
      <w:r w:rsidR="005827D0">
        <w:t xml:space="preserve"> liczbie stron większej niż 50 (skanowaniu podlega pierwszych 50 stron);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o</w:t>
      </w:r>
      <w:r w:rsidR="005827D0">
        <w:t xml:space="preserve"> nieczytelnej treści;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w</w:t>
      </w:r>
      <w:r w:rsidR="005827D0">
        <w:t xml:space="preserve"> postaci innej niż papierowa;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m</w:t>
      </w:r>
      <w:r w:rsidR="005827D0">
        <w:t>ające postać lub formę niemożliwą lub trudną do skanowania;</w:t>
      </w:r>
    </w:p>
    <w:p w:rsidR="005827D0" w:rsidRDefault="00171EA5" w:rsidP="005827D0">
      <w:pPr>
        <w:pStyle w:val="Akapitzlist"/>
        <w:numPr>
          <w:ilvl w:val="0"/>
          <w:numId w:val="2"/>
        </w:numPr>
      </w:pPr>
      <w:r>
        <w:t>nieotwierane przez punkt</w:t>
      </w:r>
      <w:r w:rsidR="00924266">
        <w:t>y kancelaryjne (załącznik Nr 3);</w:t>
      </w:r>
    </w:p>
    <w:p w:rsidR="00924266" w:rsidRPr="001638F4" w:rsidRDefault="00924266" w:rsidP="005827D0">
      <w:pPr>
        <w:pStyle w:val="Akapitzlist"/>
        <w:numPr>
          <w:ilvl w:val="0"/>
          <w:numId w:val="2"/>
        </w:numPr>
      </w:pPr>
      <w:r w:rsidRPr="001638F4">
        <w:t>niepodlegające rejestracji w systemie EZD (załącznik Nr 2)</w:t>
      </w:r>
      <w:r w:rsidR="003C4FBE" w:rsidRPr="001638F4">
        <w:t>;</w:t>
      </w:r>
    </w:p>
    <w:p w:rsidR="00581FB5" w:rsidRPr="001638F4" w:rsidRDefault="00581FB5" w:rsidP="005827D0">
      <w:pPr>
        <w:pStyle w:val="Akapitzlist"/>
        <w:numPr>
          <w:ilvl w:val="0"/>
          <w:numId w:val="2"/>
        </w:numPr>
      </w:pPr>
      <w:r w:rsidRPr="001638F4">
        <w:t xml:space="preserve">wyłączone z dekretacji Mazowieckiego Kuratora Oświaty i </w:t>
      </w:r>
      <w:r w:rsidR="00317CC5" w:rsidRPr="001638F4">
        <w:t>nie</w:t>
      </w:r>
      <w:r w:rsidRPr="001638F4">
        <w:t>dotyczące klas wskazanych do elektron</w:t>
      </w:r>
      <w:r w:rsidR="00924266" w:rsidRPr="001638F4">
        <w:t>icznego prowadzenia (załącznik N</w:t>
      </w:r>
      <w:r w:rsidRPr="001638F4">
        <w:t>r 1)</w:t>
      </w:r>
      <w:r w:rsidR="00924266" w:rsidRPr="001638F4">
        <w:t>.</w:t>
      </w:r>
    </w:p>
    <w:p w:rsidR="00171EA5" w:rsidRDefault="00171EA5" w:rsidP="00171EA5">
      <w:pPr>
        <w:pStyle w:val="Akapitzlist"/>
      </w:pPr>
    </w:p>
    <w:p w:rsidR="00326244" w:rsidRDefault="00326244" w:rsidP="00326244">
      <w:pPr>
        <w:spacing w:after="0" w:line="240" w:lineRule="auto"/>
        <w:jc w:val="center"/>
        <w:rPr>
          <w:b/>
        </w:rPr>
      </w:pPr>
      <w:r>
        <w:rPr>
          <w:b/>
        </w:rPr>
        <w:t>Część II</w:t>
      </w:r>
    </w:p>
    <w:p w:rsidR="00171EA5" w:rsidRDefault="001638F4" w:rsidP="00326244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26244">
        <w:rPr>
          <w:b/>
        </w:rPr>
        <w:t xml:space="preserve">zczegółowe </w:t>
      </w:r>
      <w:r>
        <w:rPr>
          <w:b/>
        </w:rPr>
        <w:t>rodzaje dokumentacji wskazane przez poszczególne komórki organizacyjne</w:t>
      </w:r>
    </w:p>
    <w:p w:rsidR="00326244" w:rsidRDefault="00326244" w:rsidP="00326244">
      <w:pPr>
        <w:spacing w:after="0" w:line="240" w:lineRule="auto"/>
        <w:jc w:val="center"/>
      </w:pPr>
    </w:p>
    <w:tbl>
      <w:tblPr>
        <w:tblStyle w:val="Tabela-Siatka"/>
        <w:tblW w:w="8330" w:type="dxa"/>
        <w:jc w:val="center"/>
        <w:tblLook w:val="04A0" w:firstRow="1" w:lastRow="0" w:firstColumn="1" w:lastColumn="0" w:noHBand="0" w:noVBand="1"/>
      </w:tblPr>
      <w:tblGrid>
        <w:gridCol w:w="817"/>
        <w:gridCol w:w="5103"/>
        <w:gridCol w:w="2410"/>
      </w:tblGrid>
      <w:tr w:rsidR="00171EA5" w:rsidRPr="00171EA5" w:rsidTr="00326244">
        <w:trPr>
          <w:jc w:val="center"/>
        </w:trPr>
        <w:tc>
          <w:tcPr>
            <w:tcW w:w="817" w:type="dxa"/>
          </w:tcPr>
          <w:p w:rsidR="00171EA5" w:rsidRPr="00171EA5" w:rsidRDefault="00171EA5" w:rsidP="00171EA5">
            <w:pPr>
              <w:jc w:val="center"/>
              <w:rPr>
                <w:b/>
              </w:rPr>
            </w:pPr>
            <w:r w:rsidRPr="00171EA5">
              <w:rPr>
                <w:b/>
              </w:rPr>
              <w:t>L.p.</w:t>
            </w:r>
          </w:p>
        </w:tc>
        <w:tc>
          <w:tcPr>
            <w:tcW w:w="5103" w:type="dxa"/>
          </w:tcPr>
          <w:p w:rsidR="00171EA5" w:rsidRPr="00171EA5" w:rsidRDefault="00171EA5" w:rsidP="00171EA5">
            <w:pPr>
              <w:jc w:val="center"/>
              <w:rPr>
                <w:b/>
              </w:rPr>
            </w:pPr>
            <w:r w:rsidRPr="00171EA5">
              <w:rPr>
                <w:b/>
              </w:rPr>
              <w:t>Rodzaj dokumentacji</w:t>
            </w:r>
          </w:p>
        </w:tc>
        <w:tc>
          <w:tcPr>
            <w:tcW w:w="2410" w:type="dxa"/>
          </w:tcPr>
          <w:p w:rsidR="00171EA5" w:rsidRPr="00171EA5" w:rsidRDefault="00171EA5" w:rsidP="00171EA5">
            <w:pPr>
              <w:jc w:val="center"/>
              <w:rPr>
                <w:b/>
              </w:rPr>
            </w:pPr>
            <w:r w:rsidRPr="00171EA5">
              <w:rPr>
                <w:b/>
              </w:rPr>
              <w:t>Uwagi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</w:t>
            </w:r>
          </w:p>
        </w:tc>
        <w:tc>
          <w:tcPr>
            <w:tcW w:w="5103" w:type="dxa"/>
          </w:tcPr>
          <w:p w:rsidR="00D82FF8" w:rsidRDefault="00D82FF8" w:rsidP="00331BCF">
            <w:r>
              <w:t>Dokumentacja techniczna środków trwałych (karty gwarancyjne oraz instrukcje obsługi)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</w:t>
            </w:r>
          </w:p>
        </w:tc>
        <w:tc>
          <w:tcPr>
            <w:tcW w:w="5103" w:type="dxa"/>
          </w:tcPr>
          <w:p w:rsidR="00D82FF8" w:rsidRDefault="00D82FF8" w:rsidP="005827D0">
            <w:r>
              <w:t>Dokumenty przedkładane do legalizacji i nostryfikacji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3</w:t>
            </w:r>
          </w:p>
        </w:tc>
        <w:tc>
          <w:tcPr>
            <w:tcW w:w="5103" w:type="dxa"/>
          </w:tcPr>
          <w:p w:rsidR="00D82FF8" w:rsidRDefault="00D82FF8" w:rsidP="005827D0">
            <w:r>
              <w:t>Faktury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4</w:t>
            </w:r>
          </w:p>
        </w:tc>
        <w:tc>
          <w:tcPr>
            <w:tcW w:w="5103" w:type="dxa"/>
          </w:tcPr>
          <w:p w:rsidR="00D82FF8" w:rsidRDefault="00D82FF8" w:rsidP="005827D0">
            <w:r>
              <w:t>Informacja o złożeniu oświadczenia lustracyjnego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5</w:t>
            </w:r>
          </w:p>
        </w:tc>
        <w:tc>
          <w:tcPr>
            <w:tcW w:w="5103" w:type="dxa"/>
          </w:tcPr>
          <w:p w:rsidR="00D82FF8" w:rsidRPr="001638F4" w:rsidRDefault="00D82FF8" w:rsidP="00E246E4">
            <w:r w:rsidRPr="001638F4">
              <w:t>Innowacje i eksperymenty pedagogiczne, programowe i organizacyjne w szkołach i placówkach oświatowych</w:t>
            </w:r>
          </w:p>
        </w:tc>
        <w:tc>
          <w:tcPr>
            <w:tcW w:w="2410" w:type="dxa"/>
          </w:tcPr>
          <w:p w:rsidR="00D82FF8" w:rsidRDefault="00D82FF8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6</w:t>
            </w:r>
          </w:p>
        </w:tc>
        <w:tc>
          <w:tcPr>
            <w:tcW w:w="5103" w:type="dxa"/>
          </w:tcPr>
          <w:p w:rsidR="00D82FF8" w:rsidRDefault="0061665E" w:rsidP="001638F4">
            <w:pPr>
              <w:tabs>
                <w:tab w:val="left" w:pos="1215"/>
              </w:tabs>
            </w:pPr>
            <w:r>
              <w:t xml:space="preserve">Wnioski szkół o przyjęcie do sieci szkół promujących zdrowie, sprawozdania 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7</w:t>
            </w:r>
          </w:p>
        </w:tc>
        <w:tc>
          <w:tcPr>
            <w:tcW w:w="5103" w:type="dxa"/>
          </w:tcPr>
          <w:p w:rsidR="00D82FF8" w:rsidRPr="0061665E" w:rsidRDefault="00D82FF8" w:rsidP="005827D0">
            <w:r w:rsidRPr="0061665E">
              <w:t>Noty księgowe, noty korygujące, rachunki itp.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8</w:t>
            </w:r>
          </w:p>
        </w:tc>
        <w:tc>
          <w:tcPr>
            <w:tcW w:w="5103" w:type="dxa"/>
          </w:tcPr>
          <w:p w:rsidR="00D82FF8" w:rsidRPr="0061665E" w:rsidRDefault="00D82FF8" w:rsidP="00E246E4">
            <w:r w:rsidRPr="0061665E">
              <w:t>Odwołania od oceny pracy nauczycieli</w:t>
            </w:r>
          </w:p>
        </w:tc>
        <w:tc>
          <w:tcPr>
            <w:tcW w:w="2410" w:type="dxa"/>
          </w:tcPr>
          <w:p w:rsidR="00D82FF8" w:rsidRDefault="00D82FF8" w:rsidP="004A5713">
            <w:r w:rsidRPr="00C47DC1">
              <w:t xml:space="preserve">Skan </w:t>
            </w:r>
            <w:r>
              <w:t>pisma przewodniego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9</w:t>
            </w:r>
          </w:p>
        </w:tc>
        <w:tc>
          <w:tcPr>
            <w:tcW w:w="5103" w:type="dxa"/>
          </w:tcPr>
          <w:p w:rsidR="00D82FF8" w:rsidRPr="0061665E" w:rsidRDefault="00D82FF8" w:rsidP="003C4FBE">
            <w:r w:rsidRPr="0061665E">
              <w:t>Odwołania od orzeczeń i opinii wydanych przez zespoły orzekające działające w poradniach psychologiczno-pedagogicznych</w:t>
            </w:r>
          </w:p>
        </w:tc>
        <w:tc>
          <w:tcPr>
            <w:tcW w:w="2410" w:type="dxa"/>
          </w:tcPr>
          <w:p w:rsidR="00D82FF8" w:rsidRDefault="00D82FF8" w:rsidP="004A5713">
            <w:r w:rsidRPr="00C47DC1">
              <w:t xml:space="preserve">Skan </w:t>
            </w:r>
            <w:r>
              <w:t>pisma przewodniego</w:t>
            </w:r>
          </w:p>
        </w:tc>
      </w:tr>
      <w:tr w:rsidR="00D82FF8" w:rsidTr="001638F4">
        <w:trPr>
          <w:trHeight w:val="310"/>
          <w:jc w:val="center"/>
        </w:trPr>
        <w:tc>
          <w:tcPr>
            <w:tcW w:w="817" w:type="dxa"/>
          </w:tcPr>
          <w:p w:rsidR="00D82FF8" w:rsidRDefault="001054F2" w:rsidP="001054F2">
            <w:r>
              <w:t>10</w:t>
            </w:r>
          </w:p>
        </w:tc>
        <w:tc>
          <w:tcPr>
            <w:tcW w:w="5103" w:type="dxa"/>
          </w:tcPr>
          <w:p w:rsidR="00D82FF8" w:rsidRPr="0061665E" w:rsidRDefault="00D82FF8" w:rsidP="008153A7">
            <w:r w:rsidRPr="0061665E">
              <w:t xml:space="preserve">Oferty konkursowe dot. wypoczynku wraz z </w:t>
            </w:r>
            <w:r w:rsidRPr="0061665E">
              <w:lastRenderedPageBreak/>
              <w:t>załącznikami</w:t>
            </w:r>
          </w:p>
        </w:tc>
        <w:tc>
          <w:tcPr>
            <w:tcW w:w="2410" w:type="dxa"/>
          </w:tcPr>
          <w:p w:rsidR="00D82FF8" w:rsidRDefault="00D82FF8" w:rsidP="005827D0">
            <w:r>
              <w:lastRenderedPageBreak/>
              <w:t xml:space="preserve">Po otwarciu ofert </w:t>
            </w:r>
            <w:r>
              <w:lastRenderedPageBreak/>
              <w:t>skan 1 strony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lastRenderedPageBreak/>
              <w:t>11</w:t>
            </w:r>
          </w:p>
        </w:tc>
        <w:tc>
          <w:tcPr>
            <w:tcW w:w="5103" w:type="dxa"/>
          </w:tcPr>
          <w:p w:rsidR="00D82FF8" w:rsidRPr="0061665E" w:rsidRDefault="00D82FF8" w:rsidP="00610584">
            <w:r w:rsidRPr="0061665E">
              <w:t>Oferty przetargowe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12</w:t>
            </w:r>
          </w:p>
        </w:tc>
        <w:tc>
          <w:tcPr>
            <w:tcW w:w="5103" w:type="dxa"/>
          </w:tcPr>
          <w:p w:rsidR="00D82FF8" w:rsidRPr="0061665E" w:rsidRDefault="00D82FF8" w:rsidP="005827D0">
            <w:r w:rsidRPr="0061665E">
              <w:t>Oświadczenia lustracyjne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13</w:t>
            </w:r>
          </w:p>
        </w:tc>
        <w:tc>
          <w:tcPr>
            <w:tcW w:w="5103" w:type="dxa"/>
          </w:tcPr>
          <w:p w:rsidR="00D82FF8" w:rsidRPr="0061665E" w:rsidRDefault="00D82FF8" w:rsidP="008153A7">
            <w:r w:rsidRPr="0061665E">
              <w:t>Sprawozdania merytoryczne z programów oświatowych państwa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1638F4">
        <w:trPr>
          <w:trHeight w:val="994"/>
          <w:jc w:val="center"/>
        </w:trPr>
        <w:tc>
          <w:tcPr>
            <w:tcW w:w="817" w:type="dxa"/>
          </w:tcPr>
          <w:p w:rsidR="00D82FF8" w:rsidRPr="00955D57" w:rsidRDefault="001054F2" w:rsidP="001054F2">
            <w:r>
              <w:t>14</w:t>
            </w:r>
          </w:p>
        </w:tc>
        <w:tc>
          <w:tcPr>
            <w:tcW w:w="5103" w:type="dxa"/>
          </w:tcPr>
          <w:p w:rsidR="00D82FF8" w:rsidRPr="0061665E" w:rsidRDefault="00D82FF8" w:rsidP="00955D57">
            <w:r w:rsidRPr="0061665E">
              <w:t>Umowy zlecenia zawierane z ekspertami biorącymi udział w komisjach kwalifikacyjnych dla nauczycieli ubiegających się o awans zawodowy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15</w:t>
            </w:r>
          </w:p>
        </w:tc>
        <w:tc>
          <w:tcPr>
            <w:tcW w:w="5103" w:type="dxa"/>
          </w:tcPr>
          <w:p w:rsidR="00D82FF8" w:rsidRPr="0061665E" w:rsidRDefault="00D82FF8" w:rsidP="00326244">
            <w:r w:rsidRPr="0061665E">
              <w:t>Wniosek o awans zawodowy nauczyciela wraz załącznikami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16</w:t>
            </w:r>
          </w:p>
        </w:tc>
        <w:tc>
          <w:tcPr>
            <w:tcW w:w="5103" w:type="dxa"/>
          </w:tcPr>
          <w:p w:rsidR="00D82FF8" w:rsidRPr="0061665E" w:rsidRDefault="00D82FF8" w:rsidP="006F092D">
            <w:r w:rsidRPr="0061665E">
              <w:t>Wniosek o udzielenie wsparcia finansowego w zakresie programów oświatowych państwa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17</w:t>
            </w:r>
          </w:p>
        </w:tc>
        <w:tc>
          <w:tcPr>
            <w:tcW w:w="5103" w:type="dxa"/>
          </w:tcPr>
          <w:p w:rsidR="00D82FF8" w:rsidRPr="0061665E" w:rsidRDefault="00D82FF8" w:rsidP="00E246E4">
            <w:r w:rsidRPr="0061665E">
              <w:t>Wniosek o wydanie opinii w sprawach tworzenia, organizacji, przekształcania i likwidacji szkół i placówek oświatowych</w:t>
            </w:r>
          </w:p>
        </w:tc>
        <w:tc>
          <w:tcPr>
            <w:tcW w:w="2410" w:type="dxa"/>
          </w:tcPr>
          <w:p w:rsidR="00D82FF8" w:rsidRDefault="00D82FF8" w:rsidP="005827D0">
            <w:r>
              <w:t>Skan 1 strony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18</w:t>
            </w:r>
          </w:p>
        </w:tc>
        <w:tc>
          <w:tcPr>
            <w:tcW w:w="5103" w:type="dxa"/>
          </w:tcPr>
          <w:p w:rsidR="00D82FF8" w:rsidRPr="0061665E" w:rsidRDefault="00D82FF8" w:rsidP="001638F4">
            <w:r w:rsidRPr="0061665E">
              <w:t>Wnioski o nadanie szkole niepublicznej uprawnień szkoły publicznej</w:t>
            </w:r>
          </w:p>
        </w:tc>
        <w:tc>
          <w:tcPr>
            <w:tcW w:w="2410" w:type="dxa"/>
          </w:tcPr>
          <w:p w:rsidR="00D82FF8" w:rsidRDefault="00D82FF8" w:rsidP="005827D0">
            <w:r>
              <w:t>Skan 1 strony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19</w:t>
            </w:r>
          </w:p>
        </w:tc>
        <w:tc>
          <w:tcPr>
            <w:tcW w:w="5103" w:type="dxa"/>
          </w:tcPr>
          <w:p w:rsidR="00D82FF8" w:rsidRPr="0061665E" w:rsidRDefault="00D82FF8" w:rsidP="003C4FBE">
            <w:r w:rsidRPr="0061665E">
              <w:t>Wnioski o nagrody dla nauczycieli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20</w:t>
            </w:r>
          </w:p>
        </w:tc>
        <w:tc>
          <w:tcPr>
            <w:tcW w:w="5103" w:type="dxa"/>
          </w:tcPr>
          <w:p w:rsidR="00D82FF8" w:rsidRPr="0061665E" w:rsidRDefault="00D82FF8" w:rsidP="00610584">
            <w:r w:rsidRPr="0061665E">
              <w:t>Wnioski o odznaczenia państwowe dla nauczycieli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21</w:t>
            </w:r>
          </w:p>
        </w:tc>
        <w:tc>
          <w:tcPr>
            <w:tcW w:w="5103" w:type="dxa"/>
          </w:tcPr>
          <w:p w:rsidR="00D82FF8" w:rsidRPr="0061665E" w:rsidRDefault="00D82FF8" w:rsidP="001638F4">
            <w:r w:rsidRPr="0061665E">
              <w:t>Wnioski o przyznanie stypendiów Ministra Edukacji Narodowej i Prezesa Rady Ministrów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22</w:t>
            </w:r>
          </w:p>
        </w:tc>
        <w:tc>
          <w:tcPr>
            <w:tcW w:w="5103" w:type="dxa"/>
          </w:tcPr>
          <w:p w:rsidR="00D82FF8" w:rsidRPr="0061665E" w:rsidRDefault="00D82FF8" w:rsidP="001638F4">
            <w:r w:rsidRPr="0061665E">
              <w:t xml:space="preserve">Wnioski o udzielenie dotacji składane przez jednostki samorządu terytorialnego, rozliczanie udzielonych dotacji  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23</w:t>
            </w:r>
          </w:p>
        </w:tc>
        <w:tc>
          <w:tcPr>
            <w:tcW w:w="5103" w:type="dxa"/>
          </w:tcPr>
          <w:p w:rsidR="00D82FF8" w:rsidRPr="0061665E" w:rsidRDefault="00D82FF8" w:rsidP="0071637E">
            <w:r w:rsidRPr="0061665E">
              <w:t xml:space="preserve">Wnioski, umowy i rozliczenia dotyczące dofinansowania pracodawcom kosztów kształcenia młodocianych pracowników 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24</w:t>
            </w:r>
          </w:p>
        </w:tc>
        <w:tc>
          <w:tcPr>
            <w:tcW w:w="5103" w:type="dxa"/>
          </w:tcPr>
          <w:p w:rsidR="00D82FF8" w:rsidRPr="0061665E" w:rsidRDefault="00D82FF8" w:rsidP="00955D57">
            <w:r w:rsidRPr="0061665E">
              <w:t>Załączniki do karty zgłoszenia o nadanie tytułu Honorowego Profesora Oświaty</w:t>
            </w:r>
          </w:p>
        </w:tc>
        <w:tc>
          <w:tcPr>
            <w:tcW w:w="2410" w:type="dxa"/>
          </w:tcPr>
          <w:p w:rsidR="00D82FF8" w:rsidRDefault="00D82FF8" w:rsidP="005827D0">
            <w:r>
              <w:t>Skan karty zgłoszenia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25</w:t>
            </w:r>
          </w:p>
        </w:tc>
        <w:tc>
          <w:tcPr>
            <w:tcW w:w="5103" w:type="dxa"/>
          </w:tcPr>
          <w:p w:rsidR="00D82FF8" w:rsidRPr="0061665E" w:rsidRDefault="00D82FF8" w:rsidP="00610584">
            <w:r w:rsidRPr="0061665E">
              <w:t xml:space="preserve">Załączniki do umów z dostawcami różnego rodzaju usług  m.in. NETIA, Poczta Polska, ORANGE, ERGO HESTA np. regulaminy, cenniki itp. </w:t>
            </w:r>
          </w:p>
        </w:tc>
        <w:tc>
          <w:tcPr>
            <w:tcW w:w="2410" w:type="dxa"/>
          </w:tcPr>
          <w:p w:rsidR="00D82FF8" w:rsidRDefault="00D82FF8" w:rsidP="005827D0">
            <w:r>
              <w:t>Skan umowy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26</w:t>
            </w:r>
          </w:p>
        </w:tc>
        <w:tc>
          <w:tcPr>
            <w:tcW w:w="5103" w:type="dxa"/>
          </w:tcPr>
          <w:p w:rsidR="00D82FF8" w:rsidRPr="0061665E" w:rsidRDefault="00D82FF8" w:rsidP="005827D0">
            <w:r w:rsidRPr="0061665E">
              <w:t>Zaproszenia</w:t>
            </w:r>
          </w:p>
        </w:tc>
        <w:tc>
          <w:tcPr>
            <w:tcW w:w="2410" w:type="dxa"/>
          </w:tcPr>
          <w:p w:rsidR="00D82FF8" w:rsidRDefault="00D82FF8" w:rsidP="005827D0">
            <w:r>
              <w:t>(rejestracja w składzie chronologicznym po dekretacji MKO)</w:t>
            </w:r>
          </w:p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27</w:t>
            </w:r>
          </w:p>
        </w:tc>
        <w:tc>
          <w:tcPr>
            <w:tcW w:w="5103" w:type="dxa"/>
          </w:tcPr>
          <w:p w:rsidR="00D82FF8" w:rsidRPr="0061665E" w:rsidRDefault="00D82FF8" w:rsidP="008153A7">
            <w:r w:rsidRPr="0061665E">
              <w:t>Zestawienia zbiorcze organów prowadzących z Systemu Informacji Oświatowej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28</w:t>
            </w:r>
          </w:p>
        </w:tc>
        <w:tc>
          <w:tcPr>
            <w:tcW w:w="5103" w:type="dxa"/>
          </w:tcPr>
          <w:p w:rsidR="00D82FF8" w:rsidRDefault="00D82FF8" w:rsidP="005827D0">
            <w:r>
              <w:t>Zgłoszenia wypoczynku dzieci i młodzieży</w:t>
            </w:r>
          </w:p>
        </w:tc>
        <w:tc>
          <w:tcPr>
            <w:tcW w:w="2410" w:type="dxa"/>
          </w:tcPr>
          <w:p w:rsidR="00D82FF8" w:rsidRDefault="00D82FF8" w:rsidP="005827D0"/>
        </w:tc>
      </w:tr>
      <w:tr w:rsidR="00D82FF8" w:rsidTr="00326244">
        <w:trPr>
          <w:jc w:val="center"/>
        </w:trPr>
        <w:tc>
          <w:tcPr>
            <w:tcW w:w="817" w:type="dxa"/>
          </w:tcPr>
          <w:p w:rsidR="00D82FF8" w:rsidRDefault="001054F2" w:rsidP="001054F2">
            <w:r>
              <w:t>29</w:t>
            </w:r>
          </w:p>
        </w:tc>
        <w:tc>
          <w:tcPr>
            <w:tcW w:w="5103" w:type="dxa"/>
          </w:tcPr>
          <w:p w:rsidR="00D82FF8" w:rsidRPr="00581FB5" w:rsidRDefault="00D82FF8" w:rsidP="005827D0">
            <w:r w:rsidRPr="00581FB5">
              <w:t>Zwolnienia lekarskie</w:t>
            </w:r>
          </w:p>
        </w:tc>
        <w:tc>
          <w:tcPr>
            <w:tcW w:w="2410" w:type="dxa"/>
          </w:tcPr>
          <w:p w:rsidR="00D82FF8" w:rsidRDefault="00D82FF8" w:rsidP="005827D0"/>
        </w:tc>
      </w:tr>
    </w:tbl>
    <w:p w:rsidR="00171EA5" w:rsidRDefault="00171EA5" w:rsidP="005827D0"/>
    <w:p w:rsidR="00331BCF" w:rsidRDefault="00331BCF" w:rsidP="005827D0"/>
    <w:sectPr w:rsidR="00331BCF" w:rsidSect="00980CC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B8" w:rsidRDefault="00D579B8" w:rsidP="00D82FF8">
      <w:pPr>
        <w:spacing w:after="0" w:line="240" w:lineRule="auto"/>
      </w:pPr>
      <w:r>
        <w:separator/>
      </w:r>
    </w:p>
  </w:endnote>
  <w:endnote w:type="continuationSeparator" w:id="0">
    <w:p w:rsidR="00D579B8" w:rsidRDefault="00D579B8" w:rsidP="00D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B8" w:rsidRDefault="00D579B8" w:rsidP="00D82FF8">
      <w:pPr>
        <w:spacing w:after="0" w:line="240" w:lineRule="auto"/>
      </w:pPr>
      <w:r>
        <w:separator/>
      </w:r>
    </w:p>
  </w:footnote>
  <w:footnote w:type="continuationSeparator" w:id="0">
    <w:p w:rsidR="00D579B8" w:rsidRDefault="00D579B8" w:rsidP="00D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851538"/>
      <w:docPartObj>
        <w:docPartGallery w:val="Page Numbers (Top of Page)"/>
        <w:docPartUnique/>
      </w:docPartObj>
    </w:sdtPr>
    <w:sdtContent>
      <w:p w:rsidR="00980CCE" w:rsidRDefault="00980CC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0CCE" w:rsidRDefault="00980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CE" w:rsidRPr="00A11AB0" w:rsidRDefault="00980CCE" w:rsidP="00980CCE">
    <w:pPr>
      <w:spacing w:after="0" w:line="240" w:lineRule="auto"/>
      <w:ind w:left="4956"/>
      <w:rPr>
        <w:b/>
        <w:bCs/>
        <w:sz w:val="20"/>
        <w:szCs w:val="24"/>
      </w:rPr>
    </w:pPr>
    <w:r w:rsidRPr="00A11AB0">
      <w:rPr>
        <w:b/>
        <w:bCs/>
        <w:sz w:val="20"/>
        <w:szCs w:val="24"/>
      </w:rPr>
      <w:t>Załącznik Nr 4 do zarządzenia Nr 37</w:t>
    </w:r>
  </w:p>
  <w:p w:rsidR="00980CCE" w:rsidRPr="00A11AB0" w:rsidRDefault="00980CCE" w:rsidP="00980CCE">
    <w:pPr>
      <w:spacing w:after="0" w:line="240" w:lineRule="auto"/>
      <w:ind w:left="4956"/>
      <w:rPr>
        <w:b/>
        <w:bCs/>
        <w:sz w:val="20"/>
        <w:szCs w:val="24"/>
      </w:rPr>
    </w:pPr>
    <w:r w:rsidRPr="00A11AB0">
      <w:rPr>
        <w:b/>
        <w:bCs/>
        <w:sz w:val="20"/>
        <w:szCs w:val="24"/>
      </w:rPr>
      <w:t xml:space="preserve">Mazowieckiego Kuratora Oświaty </w:t>
    </w:r>
  </w:p>
  <w:p w:rsidR="00980CCE" w:rsidRPr="00A11AB0" w:rsidRDefault="00980CCE" w:rsidP="00980CCE">
    <w:pPr>
      <w:spacing w:after="0" w:line="240" w:lineRule="auto"/>
      <w:ind w:left="4956"/>
      <w:rPr>
        <w:b/>
        <w:bCs/>
        <w:sz w:val="20"/>
        <w:szCs w:val="24"/>
      </w:rPr>
    </w:pPr>
    <w:r w:rsidRPr="00A11AB0">
      <w:rPr>
        <w:b/>
        <w:bCs/>
        <w:sz w:val="20"/>
        <w:szCs w:val="24"/>
      </w:rPr>
      <w:t>z dnia 30 czerwca 2015 r.</w:t>
    </w:r>
  </w:p>
  <w:p w:rsidR="00980CCE" w:rsidRPr="00D82FF8" w:rsidRDefault="00980CCE" w:rsidP="00980CCE">
    <w:pPr>
      <w:jc w:val="center"/>
      <w:rPr>
        <w:b/>
        <w:szCs w:val="24"/>
      </w:rPr>
    </w:pPr>
  </w:p>
  <w:p w:rsidR="00980CCE" w:rsidRPr="00980CCE" w:rsidRDefault="00980CCE" w:rsidP="00980CCE">
    <w:pPr>
      <w:jc w:val="center"/>
      <w:rPr>
        <w:sz w:val="28"/>
      </w:rPr>
    </w:pPr>
    <w:r w:rsidRPr="001F66E8">
      <w:rPr>
        <w:b/>
        <w:smallCaps/>
        <w:sz w:val="28"/>
        <w:szCs w:val="24"/>
      </w:rPr>
      <w:t xml:space="preserve">wykaz </w:t>
    </w:r>
    <w:r w:rsidRPr="001F66E8">
      <w:rPr>
        <w:b/>
        <w:smallCaps/>
        <w:sz w:val="28"/>
        <w:szCs w:val="24"/>
      </w:rPr>
      <w:br/>
      <w:t xml:space="preserve">przesyłek </w:t>
    </w:r>
    <w:r>
      <w:rPr>
        <w:b/>
        <w:smallCaps/>
        <w:sz w:val="28"/>
        <w:szCs w:val="24"/>
      </w:rPr>
      <w:t xml:space="preserve"> </w:t>
    </w:r>
    <w:r w:rsidRPr="001F66E8">
      <w:rPr>
        <w:b/>
        <w:smallCaps/>
        <w:sz w:val="28"/>
        <w:szCs w:val="24"/>
      </w:rPr>
      <w:t xml:space="preserve">wpływających </w:t>
    </w:r>
    <w:r w:rsidRPr="001F66E8">
      <w:rPr>
        <w:b/>
        <w:smallCaps/>
        <w:sz w:val="28"/>
        <w:szCs w:val="24"/>
      </w:rPr>
      <w:br/>
      <w:t xml:space="preserve">niepodlegających </w:t>
    </w:r>
    <w:r>
      <w:rPr>
        <w:b/>
        <w:smallCaps/>
        <w:sz w:val="28"/>
        <w:szCs w:val="24"/>
      </w:rPr>
      <w:t xml:space="preserve"> </w:t>
    </w:r>
    <w:r w:rsidRPr="001F66E8">
      <w:rPr>
        <w:b/>
        <w:smallCaps/>
        <w:sz w:val="28"/>
        <w:szCs w:val="24"/>
      </w:rPr>
      <w:t xml:space="preserve">skanowaniu </w:t>
    </w:r>
    <w:r>
      <w:rPr>
        <w:b/>
        <w:smallCaps/>
        <w:sz w:val="28"/>
        <w:szCs w:val="24"/>
      </w:rPr>
      <w:t xml:space="preserve"> </w:t>
    </w:r>
    <w:r w:rsidRPr="001F66E8">
      <w:rPr>
        <w:b/>
        <w:smallCaps/>
        <w:sz w:val="28"/>
        <w:szCs w:val="24"/>
      </w:rPr>
      <w:t xml:space="preserve">w </w:t>
    </w:r>
    <w:r>
      <w:rPr>
        <w:b/>
        <w:smallCaps/>
        <w:sz w:val="28"/>
        <w:szCs w:val="24"/>
      </w:rPr>
      <w:t xml:space="preserve"> </w:t>
    </w:r>
    <w:r w:rsidRPr="001F66E8">
      <w:rPr>
        <w:b/>
        <w:smallCaps/>
        <w:sz w:val="28"/>
        <w:szCs w:val="24"/>
      </w:rPr>
      <w:t xml:space="preserve">punktach </w:t>
    </w:r>
    <w:r>
      <w:rPr>
        <w:b/>
        <w:smallCaps/>
        <w:sz w:val="28"/>
        <w:szCs w:val="24"/>
      </w:rPr>
      <w:t xml:space="preserve"> </w:t>
    </w:r>
    <w:r w:rsidRPr="001F66E8">
      <w:rPr>
        <w:b/>
        <w:smallCaps/>
        <w:sz w:val="28"/>
        <w:szCs w:val="24"/>
      </w:rPr>
      <w:t>kancelaryjnych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430"/>
    <w:multiLevelType w:val="hybridMultilevel"/>
    <w:tmpl w:val="4AAC3F74"/>
    <w:lvl w:ilvl="0" w:tplc="86EED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46"/>
    <w:multiLevelType w:val="hybridMultilevel"/>
    <w:tmpl w:val="1DE40A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922D30"/>
    <w:multiLevelType w:val="hybridMultilevel"/>
    <w:tmpl w:val="B6B86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0"/>
    <w:rsid w:val="00047AD9"/>
    <w:rsid w:val="0010423D"/>
    <w:rsid w:val="001054F2"/>
    <w:rsid w:val="001638F4"/>
    <w:rsid w:val="00171EA5"/>
    <w:rsid w:val="001F66E8"/>
    <w:rsid w:val="00285C84"/>
    <w:rsid w:val="002E5CAC"/>
    <w:rsid w:val="00317CC5"/>
    <w:rsid w:val="00326244"/>
    <w:rsid w:val="00331BCF"/>
    <w:rsid w:val="003C4FBE"/>
    <w:rsid w:val="00472E3C"/>
    <w:rsid w:val="004A5713"/>
    <w:rsid w:val="004D4099"/>
    <w:rsid w:val="00581FB5"/>
    <w:rsid w:val="005827D0"/>
    <w:rsid w:val="0059372A"/>
    <w:rsid w:val="005B3561"/>
    <w:rsid w:val="0061665E"/>
    <w:rsid w:val="00662A7E"/>
    <w:rsid w:val="006F092D"/>
    <w:rsid w:val="006F3B3E"/>
    <w:rsid w:val="0070095C"/>
    <w:rsid w:val="007075E3"/>
    <w:rsid w:val="0071637E"/>
    <w:rsid w:val="007D2C07"/>
    <w:rsid w:val="008153A7"/>
    <w:rsid w:val="00876B5D"/>
    <w:rsid w:val="008E1A3D"/>
    <w:rsid w:val="00924266"/>
    <w:rsid w:val="00955D57"/>
    <w:rsid w:val="00980CCE"/>
    <w:rsid w:val="00A11AB0"/>
    <w:rsid w:val="00A22495"/>
    <w:rsid w:val="00BD4747"/>
    <w:rsid w:val="00BF1983"/>
    <w:rsid w:val="00D579B8"/>
    <w:rsid w:val="00D82FF8"/>
    <w:rsid w:val="00DB429B"/>
    <w:rsid w:val="00DE31BC"/>
    <w:rsid w:val="00E06B34"/>
    <w:rsid w:val="00E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7C8C-8B1C-4ADF-9B3F-D1E743E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D0"/>
    <w:pPr>
      <w:ind w:left="720"/>
      <w:contextualSpacing/>
    </w:pPr>
  </w:style>
  <w:style w:type="table" w:styleId="Tabela-Siatka">
    <w:name w:val="Table Grid"/>
    <w:basedOn w:val="Standardowy"/>
    <w:uiPriority w:val="59"/>
    <w:rsid w:val="0017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F8"/>
  </w:style>
  <w:style w:type="paragraph" w:styleId="Stopka">
    <w:name w:val="footer"/>
    <w:basedOn w:val="Normalny"/>
    <w:link w:val="StopkaZnak"/>
    <w:uiPriority w:val="99"/>
    <w:unhideWhenUsed/>
    <w:rsid w:val="00D8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8"/>
  </w:style>
  <w:style w:type="paragraph" w:styleId="Tekstdymka">
    <w:name w:val="Balloon Text"/>
    <w:basedOn w:val="Normalny"/>
    <w:link w:val="TekstdymkaZnak"/>
    <w:uiPriority w:val="99"/>
    <w:semiHidden/>
    <w:unhideWhenUsed/>
    <w:rsid w:val="001F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9</cp:revision>
  <cp:lastPrinted>2015-06-30T12:52:00Z</cp:lastPrinted>
  <dcterms:created xsi:type="dcterms:W3CDTF">2015-06-30T05:55:00Z</dcterms:created>
  <dcterms:modified xsi:type="dcterms:W3CDTF">2015-06-30T12:53:00Z</dcterms:modified>
</cp:coreProperties>
</file>